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52"/>
        </w:rPr>
      </w:pPr>
    </w:p>
    <w:p>
      <w:pPr>
        <w:jc w:val="center"/>
        <w:rPr>
          <w:rFonts w:eastAsia="黑体"/>
          <w:sz w:val="52"/>
        </w:rPr>
      </w:pPr>
    </w:p>
    <w:p>
      <w:pPr>
        <w:jc w:val="center"/>
        <w:rPr>
          <w:rFonts w:eastAsia="黑体"/>
          <w:sz w:val="52"/>
        </w:rPr>
      </w:pPr>
    </w:p>
    <w:p>
      <w:pPr>
        <w:jc w:val="center"/>
        <w:rPr>
          <w:rFonts w:eastAsia="黑体"/>
          <w:sz w:val="72"/>
        </w:rPr>
      </w:pPr>
      <w:r>
        <w:rPr>
          <w:rFonts w:hint="eastAsia" w:eastAsia="黑体"/>
          <w:sz w:val="52"/>
        </w:rPr>
        <w:t>中国核能行业协会标准</w:t>
      </w:r>
    </w:p>
    <w:p>
      <w:pPr>
        <w:jc w:val="center"/>
        <w:rPr>
          <w:rFonts w:eastAsia="黑体"/>
          <w:sz w:val="72"/>
        </w:rPr>
      </w:pPr>
      <w:r>
        <w:rPr>
          <w:rFonts w:hint="eastAsia" w:eastAsia="黑体"/>
          <w:sz w:val="72"/>
        </w:rPr>
        <w:t>编制说明</w:t>
      </w:r>
    </w:p>
    <w:p>
      <w:pPr>
        <w:jc w:val="center"/>
        <w:rPr>
          <w:rFonts w:eastAsia="黑体"/>
          <w:sz w:val="44"/>
          <w:szCs w:val="44"/>
        </w:rPr>
      </w:pPr>
    </w:p>
    <w:p>
      <w:pPr>
        <w:jc w:val="center"/>
        <w:rPr>
          <w:rFonts w:eastAsia="黑体"/>
          <w:sz w:val="44"/>
          <w:szCs w:val="44"/>
        </w:rPr>
      </w:pPr>
      <w:r>
        <w:rPr>
          <w:rFonts w:hint="eastAsia" w:eastAsia="黑体"/>
          <w:sz w:val="44"/>
          <w:szCs w:val="44"/>
        </w:rPr>
        <w:t>（征求意见稿）</w:t>
      </w:r>
    </w:p>
    <w:p>
      <w:pPr>
        <w:jc w:val="center"/>
        <w:rPr>
          <w:rFonts w:eastAsia="黑体"/>
          <w:sz w:val="52"/>
        </w:rPr>
      </w:pPr>
    </w:p>
    <w:p>
      <w:pPr>
        <w:jc w:val="center"/>
        <w:rPr>
          <w:rFonts w:eastAsia="黑体"/>
          <w:sz w:val="52"/>
        </w:rPr>
      </w:pPr>
    </w:p>
    <w:p>
      <w:pPr>
        <w:jc w:val="center"/>
        <w:rPr>
          <w:rFonts w:eastAsia="黑体"/>
          <w:sz w:val="52"/>
        </w:rPr>
      </w:pPr>
    </w:p>
    <w:p>
      <w:pPr>
        <w:rPr>
          <w:rFonts w:eastAsia="黑体"/>
          <w:sz w:val="32"/>
        </w:rPr>
      </w:pPr>
    </w:p>
    <w:p>
      <w:pPr>
        <w:rPr>
          <w:sz w:val="44"/>
        </w:rPr>
      </w:pPr>
      <w:r>
        <w:rPr>
          <w:rFonts w:hint="eastAsia" w:eastAsia="黑体"/>
          <w:sz w:val="32"/>
        </w:rPr>
        <w:t>项</w:t>
      </w:r>
      <w:r>
        <w:rPr>
          <w:rFonts w:eastAsia="黑体"/>
          <w:sz w:val="32"/>
        </w:rPr>
        <w:t xml:space="preserve"> </w:t>
      </w:r>
      <w:r>
        <w:rPr>
          <w:rFonts w:hint="eastAsia" w:eastAsia="黑体"/>
          <w:sz w:val="32"/>
        </w:rPr>
        <w:t>目</w:t>
      </w:r>
      <w:r>
        <w:rPr>
          <w:rFonts w:eastAsia="黑体"/>
          <w:sz w:val="32"/>
        </w:rPr>
        <w:t xml:space="preserve">  </w:t>
      </w:r>
      <w:r>
        <w:rPr>
          <w:rFonts w:hint="eastAsia" w:eastAsia="黑体"/>
          <w:sz w:val="32"/>
        </w:rPr>
        <w:t>名</w:t>
      </w:r>
      <w:r>
        <w:rPr>
          <w:rFonts w:eastAsia="黑体"/>
          <w:sz w:val="32"/>
        </w:rPr>
        <w:t xml:space="preserve"> </w:t>
      </w:r>
      <w:r>
        <w:rPr>
          <w:rFonts w:hint="eastAsia" w:eastAsia="黑体"/>
          <w:sz w:val="32"/>
        </w:rPr>
        <w:t>称：</w:t>
      </w:r>
      <w:r>
        <w:rPr>
          <w:rFonts w:eastAsia="黑体"/>
          <w:sz w:val="32"/>
          <w:u w:val="single"/>
        </w:rPr>
        <w:t xml:space="preserve">  </w:t>
      </w:r>
      <w:r>
        <w:rPr>
          <w:rFonts w:hint="eastAsia" w:eastAsia="黑体"/>
          <w:sz w:val="32"/>
          <w:u w:val="single"/>
        </w:rPr>
        <w:t xml:space="preserve">    </w:t>
      </w:r>
      <w:r>
        <w:rPr>
          <w:rFonts w:hint="eastAsia"/>
          <w:b/>
          <w:sz w:val="30"/>
          <w:szCs w:val="30"/>
          <w:u w:val="single"/>
        </w:rPr>
        <w:t>压水堆钴靶件规范</w:t>
      </w:r>
      <w:r>
        <w:rPr>
          <w:rFonts w:hAnsi="宋体"/>
          <w:sz w:val="30"/>
          <w:szCs w:val="30"/>
          <w:u w:val="single"/>
        </w:rPr>
        <w:t xml:space="preserve"> </w:t>
      </w:r>
      <w:r>
        <w:rPr>
          <w:rFonts w:hint="eastAsia" w:hAnsi="宋体"/>
          <w:sz w:val="30"/>
          <w:szCs w:val="30"/>
          <w:u w:val="single"/>
        </w:rPr>
        <w:t xml:space="preserve"> </w:t>
      </w:r>
      <w:r>
        <w:rPr>
          <w:rFonts w:hint="eastAsia" w:eastAsia="黑体"/>
          <w:sz w:val="32"/>
          <w:u w:val="single"/>
        </w:rPr>
        <w:t xml:space="preserve">  </w:t>
      </w:r>
      <w:r>
        <w:rPr>
          <w:rFonts w:hint="eastAsia" w:hAnsi="宋体"/>
          <w:sz w:val="30"/>
          <w:szCs w:val="30"/>
          <w:u w:val="single"/>
        </w:rPr>
        <w:t xml:space="preserve"> </w:t>
      </w:r>
    </w:p>
    <w:p>
      <w:pPr>
        <w:rPr>
          <w:sz w:val="32"/>
          <w:u w:val="single"/>
        </w:rPr>
      </w:pPr>
      <w:r>
        <w:rPr>
          <w:rFonts w:hint="eastAsia" w:eastAsia="黑体"/>
          <w:sz w:val="32"/>
        </w:rPr>
        <w:t>计划项目代号：</w:t>
      </w:r>
      <w:r>
        <w:rPr>
          <w:sz w:val="32"/>
          <w:u w:val="single"/>
        </w:rPr>
        <w:t xml:space="preserve"> </w:t>
      </w:r>
      <w:r>
        <w:rPr>
          <w:sz w:val="30"/>
          <w:szCs w:val="30"/>
          <w:u w:val="single"/>
        </w:rPr>
        <w:t xml:space="preserve">                   </w:t>
      </w:r>
      <w:r>
        <w:rPr>
          <w:rFonts w:hint="eastAsia"/>
          <w:sz w:val="30"/>
          <w:szCs w:val="30"/>
          <w:u w:val="single"/>
        </w:rPr>
        <w:t xml:space="preserve"> </w:t>
      </w:r>
      <w:r>
        <w:rPr>
          <w:sz w:val="30"/>
          <w:szCs w:val="30"/>
          <w:u w:val="single"/>
        </w:rPr>
        <w:t xml:space="preserve">       </w:t>
      </w:r>
    </w:p>
    <w:p>
      <w:pPr>
        <w:rPr>
          <w:sz w:val="32"/>
          <w:u w:val="single"/>
        </w:rPr>
      </w:pPr>
      <w:r>
        <w:rPr>
          <w:rFonts w:hint="eastAsia" w:eastAsia="黑体"/>
          <w:sz w:val="32"/>
        </w:rPr>
        <w:t>主要起草单位：</w:t>
      </w:r>
      <w:r>
        <w:rPr>
          <w:sz w:val="32"/>
          <w:u w:val="single"/>
        </w:rPr>
        <w:t xml:space="preserve"> </w:t>
      </w:r>
      <w:r>
        <w:rPr>
          <w:rFonts w:hint="eastAsia" w:hAnsi="宋体"/>
          <w:b/>
          <w:sz w:val="30"/>
          <w:szCs w:val="30"/>
          <w:u w:val="single"/>
        </w:rPr>
        <w:t>中核北方核燃料元件有限公司</w:t>
      </w:r>
      <w:r>
        <w:rPr>
          <w:rFonts w:eastAsia="黑体"/>
          <w:sz w:val="32"/>
          <w:u w:val="single"/>
        </w:rPr>
        <w:t xml:space="preserve"> </w:t>
      </w:r>
    </w:p>
    <w:p>
      <w:pPr>
        <w:rPr>
          <w:rFonts w:eastAsia="黑体"/>
          <w:sz w:val="32"/>
        </w:rPr>
      </w:pPr>
    </w:p>
    <w:p>
      <w:pPr>
        <w:rPr>
          <w:rFonts w:eastAsia="黑体"/>
          <w:sz w:val="32"/>
        </w:rPr>
      </w:pPr>
    </w:p>
    <w:p>
      <w:pPr>
        <w:rPr>
          <w:rFonts w:eastAsia="黑体"/>
          <w:sz w:val="32"/>
        </w:rPr>
      </w:pPr>
    </w:p>
    <w:p>
      <w:pPr>
        <w:rPr>
          <w:rFonts w:eastAsia="黑体"/>
          <w:sz w:val="32"/>
        </w:rPr>
      </w:pPr>
    </w:p>
    <w:p>
      <w:pPr>
        <w:jc w:val="center"/>
        <w:rPr>
          <w:rFonts w:eastAsia="黑体"/>
          <w:sz w:val="32"/>
        </w:rPr>
      </w:pPr>
      <w:r>
        <w:rPr>
          <w:rFonts w:eastAsia="黑体"/>
          <w:sz w:val="32"/>
        </w:rPr>
        <w:t>20</w:t>
      </w:r>
      <w:r>
        <w:rPr>
          <w:rFonts w:hint="eastAsia" w:eastAsia="黑体"/>
          <w:sz w:val="32"/>
          <w:lang w:val="en-US" w:eastAsia="zh-CN"/>
        </w:rPr>
        <w:t>21</w:t>
      </w:r>
      <w:r>
        <w:rPr>
          <w:rFonts w:hint="eastAsia" w:eastAsia="黑体"/>
          <w:sz w:val="32"/>
        </w:rPr>
        <w:t>年</w:t>
      </w:r>
      <w:r>
        <w:rPr>
          <w:rFonts w:hint="eastAsia" w:eastAsia="黑体"/>
          <w:sz w:val="32"/>
          <w:lang w:val="en-US" w:eastAsia="zh-CN"/>
        </w:rPr>
        <w:t>6</w:t>
      </w:r>
      <w:r>
        <w:rPr>
          <w:rFonts w:hint="eastAsia" w:eastAsia="黑体"/>
          <w:sz w:val="32"/>
        </w:rPr>
        <w:t>月</w:t>
      </w:r>
    </w:p>
    <w:p>
      <w:pPr>
        <w:jc w:val="center"/>
        <w:rPr>
          <w:rFonts w:eastAsia="黑体"/>
          <w:sz w:val="32"/>
        </w:rPr>
      </w:pPr>
    </w:p>
    <w:p>
      <w:pPr>
        <w:widowControl/>
        <w:jc w:val="left"/>
        <w:rPr>
          <w:rFonts w:eastAsia="黑体"/>
          <w:kern w:val="0"/>
          <w:sz w:val="32"/>
        </w:rPr>
        <w:sectPr>
          <w:pgSz w:w="11906" w:h="16838"/>
          <w:pgMar w:top="1440" w:right="1800" w:bottom="1440" w:left="1800" w:header="851" w:footer="992" w:gutter="0"/>
          <w:cols w:space="720" w:num="1"/>
          <w:docGrid w:type="lines" w:linePitch="312" w:charSpace="0"/>
        </w:sectPr>
      </w:pPr>
    </w:p>
    <w:p>
      <w:pPr>
        <w:jc w:val="center"/>
        <w:rPr>
          <w:rFonts w:eastAsia="黑体"/>
          <w:sz w:val="32"/>
        </w:rPr>
      </w:pPr>
      <w:r>
        <w:rPr>
          <w:rFonts w:hint="eastAsia" w:eastAsia="黑体"/>
          <w:sz w:val="32"/>
        </w:rPr>
        <w:t>《压水堆钴靶件规范》编制说明</w:t>
      </w:r>
    </w:p>
    <w:p>
      <w:pPr>
        <w:jc w:val="center"/>
        <w:rPr>
          <w:rFonts w:eastAsia="黑体"/>
          <w:sz w:val="32"/>
        </w:rPr>
      </w:pPr>
      <w:r>
        <w:rPr>
          <w:rFonts w:hint="eastAsia" w:eastAsia="黑体"/>
          <w:sz w:val="32"/>
        </w:rPr>
        <w:t>（征求意见稿）</w:t>
      </w:r>
    </w:p>
    <w:p>
      <w:pPr>
        <w:numPr>
          <w:ilvl w:val="0"/>
          <w:numId w:val="2"/>
        </w:numPr>
        <w:spacing w:beforeLines="50" w:line="500" w:lineRule="exact"/>
        <w:rPr>
          <w:rFonts w:eastAsia="黑体"/>
          <w:sz w:val="32"/>
        </w:rPr>
      </w:pPr>
      <w:r>
        <w:rPr>
          <w:rFonts w:hint="eastAsia" w:eastAsia="黑体"/>
          <w:sz w:val="32"/>
        </w:rPr>
        <w:t>工作简况</w:t>
      </w:r>
    </w:p>
    <w:p>
      <w:pPr>
        <w:spacing w:beforeLines="50" w:afterLines="50" w:line="500" w:lineRule="exact"/>
        <w:rPr>
          <w:rFonts w:eastAsia="黑体"/>
          <w:sz w:val="28"/>
        </w:rPr>
      </w:pPr>
      <w:r>
        <w:rPr>
          <w:rFonts w:hint="eastAsia" w:eastAsia="黑体"/>
          <w:sz w:val="28"/>
        </w:rPr>
        <w:t>1、任务来源</w:t>
      </w:r>
    </w:p>
    <w:p>
      <w:pPr>
        <w:spacing w:line="360" w:lineRule="auto"/>
        <w:ind w:firstLine="480" w:firstLineChars="200"/>
        <w:rPr>
          <w:rFonts w:hAnsi="宋体"/>
          <w:sz w:val="24"/>
        </w:rPr>
      </w:pPr>
      <w:r>
        <w:rPr>
          <w:rFonts w:hint="eastAsia" w:hAnsi="宋体"/>
          <w:sz w:val="24"/>
        </w:rPr>
        <w:t>核能行业协会标准《压水堆钴靶件规范》（以下简称《规范》）制定由中核北方核燃料元件有限公司提出，来源于中国核能行业协会标准化项目，按照计划由中核北方核燃料元件有限公司承担本标准的具体制定工作，参编单位为中广核研究院有限公司。本标准要求</w:t>
      </w:r>
      <w:r>
        <w:rPr>
          <w:rFonts w:hAnsi="宋体"/>
          <w:sz w:val="24"/>
        </w:rPr>
        <w:t>20</w:t>
      </w:r>
      <w:r>
        <w:rPr>
          <w:rFonts w:hint="eastAsia" w:hAnsi="宋体"/>
          <w:sz w:val="24"/>
        </w:rPr>
        <w:t>21年4月底完成标准征求意见稿编制；</w:t>
      </w:r>
      <w:r>
        <w:rPr>
          <w:rFonts w:hAnsi="宋体"/>
          <w:sz w:val="24"/>
        </w:rPr>
        <w:t>20</w:t>
      </w:r>
      <w:r>
        <w:rPr>
          <w:rFonts w:hint="eastAsia" w:hAnsi="宋体"/>
          <w:sz w:val="24"/>
        </w:rPr>
        <w:t>21年7月底完成标准送审稿编制；</w:t>
      </w:r>
      <w:r>
        <w:rPr>
          <w:rFonts w:hAnsi="宋体"/>
          <w:sz w:val="24"/>
        </w:rPr>
        <w:t>20</w:t>
      </w:r>
      <w:r>
        <w:rPr>
          <w:rFonts w:hint="eastAsia" w:hAnsi="宋体"/>
          <w:sz w:val="24"/>
        </w:rPr>
        <w:t>21年8月底完成标准报批稿编制。</w:t>
      </w:r>
    </w:p>
    <w:p>
      <w:pPr>
        <w:spacing w:beforeLines="50" w:afterLines="50" w:line="500" w:lineRule="exact"/>
        <w:rPr>
          <w:rFonts w:eastAsia="黑体"/>
          <w:sz w:val="28"/>
        </w:rPr>
      </w:pPr>
      <w:r>
        <w:rPr>
          <w:rFonts w:hint="eastAsia" w:eastAsia="黑体"/>
          <w:sz w:val="28"/>
        </w:rPr>
        <w:t>2、主要工作过程</w:t>
      </w:r>
    </w:p>
    <w:p>
      <w:pPr>
        <w:spacing w:line="460" w:lineRule="exact"/>
        <w:ind w:firstLine="480"/>
        <w:jc w:val="left"/>
        <w:rPr>
          <w:rFonts w:hAnsi="宋体"/>
          <w:sz w:val="24"/>
        </w:rPr>
      </w:pPr>
      <w:r>
        <w:rPr>
          <w:rFonts w:hint="eastAsia" w:hAnsi="宋体"/>
          <w:sz w:val="24"/>
        </w:rPr>
        <w:t>根据项目要求，中核北方核燃料元件有限公司标准化办公室组织中核北方冶金研究所、中核北方理化检测中心、中广核研究院相关技术人员，成立了标准修订编制组，讨论并明确了成员分工，项目组长：李波，组员：</w:t>
      </w:r>
      <w:r>
        <w:rPr>
          <w:rFonts w:hint="eastAsia" w:hAnsi="宋体"/>
          <w:sz w:val="24"/>
          <w:lang w:val="en-US" w:eastAsia="zh-CN"/>
        </w:rPr>
        <w:t>XXX</w:t>
      </w:r>
      <w:r>
        <w:rPr>
          <w:rFonts w:hint="eastAsia" w:hAnsi="宋体"/>
          <w:sz w:val="24"/>
        </w:rPr>
        <w:t xml:space="preserve"> 、杨彩霞、</w:t>
      </w:r>
      <w:r>
        <w:rPr>
          <w:rFonts w:hint="eastAsia" w:hAnsi="宋体"/>
          <w:sz w:val="24"/>
          <w:lang w:val="en-US" w:eastAsia="zh-CN"/>
        </w:rPr>
        <w:t>XXX</w:t>
      </w:r>
      <w:r>
        <w:rPr>
          <w:rFonts w:hint="eastAsia" w:hAnsi="宋体"/>
          <w:sz w:val="24"/>
        </w:rPr>
        <w:t xml:space="preserve"> 、郭洪、姬鹏波、王志斌、</w:t>
      </w:r>
      <w:bookmarkStart w:id="0" w:name="_GoBack"/>
      <w:bookmarkEnd w:id="0"/>
      <w:r>
        <w:rPr>
          <w:rFonts w:hint="eastAsia" w:hAnsi="宋体"/>
          <w:sz w:val="24"/>
        </w:rPr>
        <w:t>申俊华、雷云霞、韩凤娇、马建、鲁杭杭。</w:t>
      </w:r>
    </w:p>
    <w:p>
      <w:pPr>
        <w:spacing w:line="460" w:lineRule="exact"/>
        <w:ind w:firstLine="480"/>
        <w:jc w:val="left"/>
        <w:rPr>
          <w:rFonts w:hAnsi="宋体"/>
          <w:sz w:val="24"/>
        </w:rPr>
      </w:pPr>
      <w:r>
        <w:rPr>
          <w:rFonts w:hint="eastAsia" w:hAnsi="宋体"/>
          <w:sz w:val="24"/>
          <w:szCs w:val="24"/>
        </w:rPr>
        <w:t>编制组首先制订了工作计划和进度安排，确定了编制原则，搭建了标准的基本结构，其次</w:t>
      </w:r>
      <w:r>
        <w:rPr>
          <w:rFonts w:hint="eastAsia"/>
          <w:sz w:val="24"/>
          <w:szCs w:val="24"/>
        </w:rPr>
        <w:t>开展了压水堆钴靶件的主要功能作用和影响因素的分析，在此基础上进行了保障技术要求的分析，同时兼顾未来产品发展的需求、查询了相关国内标准，确定了保障技术条款的要求，</w:t>
      </w:r>
      <w:r>
        <w:rPr>
          <w:rFonts w:hAnsi="宋体"/>
          <w:sz w:val="24"/>
        </w:rPr>
        <w:t>20</w:t>
      </w:r>
      <w:r>
        <w:rPr>
          <w:rFonts w:hint="eastAsia" w:hAnsi="宋体"/>
          <w:sz w:val="24"/>
        </w:rPr>
        <w:t>21年3月完成了“压水堆钴靶件”初稿的编制，2021年3月30日至4月20日公司组织专家对初稿进行了函审，项目组根据函审意见修改后于</w:t>
      </w:r>
      <w:r>
        <w:rPr>
          <w:rFonts w:hAnsi="宋体"/>
          <w:sz w:val="24"/>
        </w:rPr>
        <w:t>20</w:t>
      </w:r>
      <w:r>
        <w:rPr>
          <w:rFonts w:hint="eastAsia" w:hAnsi="宋体"/>
          <w:sz w:val="24"/>
        </w:rPr>
        <w:t>21年4月底形成标准征求意见稿。</w:t>
      </w:r>
    </w:p>
    <w:p>
      <w:pPr>
        <w:spacing w:beforeLines="50" w:afterLines="50" w:line="500" w:lineRule="exact"/>
        <w:rPr>
          <w:rFonts w:eastAsia="黑体"/>
          <w:sz w:val="28"/>
        </w:rPr>
      </w:pPr>
      <w:r>
        <w:rPr>
          <w:rFonts w:hint="eastAsia" w:eastAsia="黑体"/>
          <w:sz w:val="28"/>
        </w:rPr>
        <w:t>3、主要参加单位和工作组成员及其所作的工作等</w:t>
      </w:r>
    </w:p>
    <w:p>
      <w:pPr>
        <w:spacing w:line="460" w:lineRule="exact"/>
        <w:ind w:firstLine="480"/>
        <w:jc w:val="left"/>
        <w:rPr>
          <w:sz w:val="24"/>
          <w:szCs w:val="24"/>
        </w:rPr>
      </w:pPr>
      <w:r>
        <w:rPr>
          <w:rFonts w:hint="eastAsia"/>
          <w:sz w:val="24"/>
          <w:szCs w:val="24"/>
        </w:rPr>
        <w:t>中核北方核燃料元件有限公司承担本标准的具体制定工作，参编单位为中广核研究院有限公司。中广核研究院有限公司对压水堆钴靶件所用到的原材料、钴棒的进行了理论计算、模拟分析，提出了原始技术指标；中核北方核燃料元件有限公司依据中广核研究院的初步设计，开展了靶件的研制和小批量制造，根据具体的研制和生产情况，提供了钴粒及其镀镍层的技术要求和检测方法等的指标，并依据制造实际需求和广泛适用性的要求，对部分技术指标提出了修改意见，经过制造试验及验证，在满足使用功能要求的前提下，本着先进性和经济性的原则最终确定了广泛适用的技术指标。</w:t>
      </w:r>
    </w:p>
    <w:p>
      <w:pPr>
        <w:numPr>
          <w:ilvl w:val="0"/>
          <w:numId w:val="2"/>
        </w:numPr>
        <w:spacing w:beforeLines="100" w:line="500" w:lineRule="exact"/>
        <w:rPr>
          <w:rFonts w:eastAsia="黑体"/>
          <w:sz w:val="32"/>
        </w:rPr>
      </w:pPr>
      <w:r>
        <w:rPr>
          <w:rFonts w:hint="eastAsia" w:eastAsia="黑体"/>
          <w:sz w:val="32"/>
        </w:rPr>
        <w:t>标准编制原则和主要内容</w:t>
      </w:r>
    </w:p>
    <w:p>
      <w:pPr>
        <w:spacing w:beforeLines="50" w:afterLines="50" w:line="500" w:lineRule="exact"/>
        <w:rPr>
          <w:rFonts w:eastAsia="黑体"/>
          <w:sz w:val="28"/>
        </w:rPr>
      </w:pPr>
      <w:r>
        <w:rPr>
          <w:rFonts w:hint="eastAsia" w:eastAsia="黑体"/>
          <w:sz w:val="28"/>
        </w:rPr>
        <w:t>1、标准编制原则</w:t>
      </w:r>
    </w:p>
    <w:p>
      <w:pPr>
        <w:spacing w:beforeLines="50" w:afterLines="50" w:line="500" w:lineRule="exact"/>
        <w:ind w:firstLine="480" w:firstLineChars="200"/>
        <w:rPr>
          <w:sz w:val="24"/>
          <w:szCs w:val="24"/>
        </w:rPr>
      </w:pPr>
      <w:r>
        <w:rPr>
          <w:rFonts w:hint="eastAsia"/>
          <w:sz w:val="24"/>
          <w:szCs w:val="24"/>
        </w:rPr>
        <w:t>本标准的制定工作遵循“统一性、协调性、适用性、一致性、规范性”的原则，本着先进性、科学性、合理性和可操作性的原则，按照GB/T 1.1-2020《标准化工作导则 第一部分：标准的结构和编写》给出的规则编写。</w:t>
      </w:r>
    </w:p>
    <w:p>
      <w:pPr>
        <w:spacing w:beforeLines="50" w:afterLines="50" w:line="500" w:lineRule="exact"/>
        <w:ind w:firstLine="480" w:firstLineChars="200"/>
        <w:rPr>
          <w:sz w:val="24"/>
          <w:szCs w:val="24"/>
        </w:rPr>
      </w:pPr>
      <w:r>
        <w:rPr>
          <w:rFonts w:hint="eastAsia"/>
          <w:sz w:val="24"/>
          <w:szCs w:val="24"/>
        </w:rPr>
        <w:t>（1）科学性</w:t>
      </w:r>
    </w:p>
    <w:p>
      <w:pPr>
        <w:spacing w:beforeLines="50" w:afterLines="50" w:line="500" w:lineRule="exact"/>
        <w:ind w:firstLine="480" w:firstLineChars="200"/>
        <w:rPr>
          <w:sz w:val="24"/>
          <w:szCs w:val="24"/>
        </w:rPr>
      </w:pPr>
      <w:r>
        <w:rPr>
          <w:rFonts w:hint="eastAsia"/>
          <w:sz w:val="24"/>
          <w:szCs w:val="24"/>
        </w:rPr>
        <w:t>本标准中原材料、钴粒、钴棒的检验方法参照了</w:t>
      </w:r>
      <w:r>
        <w:rPr>
          <w:sz w:val="24"/>
          <w:szCs w:val="24"/>
        </w:rPr>
        <w:t xml:space="preserve">EJ/T </w:t>
      </w:r>
      <w:r>
        <w:rPr>
          <w:rFonts w:hint="eastAsia"/>
          <w:sz w:val="24"/>
          <w:szCs w:val="24"/>
        </w:rPr>
        <w:t>20145</w:t>
      </w:r>
      <w:r>
        <w:rPr>
          <w:sz w:val="24"/>
          <w:szCs w:val="24"/>
        </w:rPr>
        <w:t>—201</w:t>
      </w:r>
      <w:r>
        <w:rPr>
          <w:rFonts w:hint="eastAsia"/>
          <w:sz w:val="24"/>
          <w:szCs w:val="24"/>
        </w:rPr>
        <w:t>6《CANDU-6重水堆用钴-59调节棒组件规范》，重水堆用钴-59调节棒组件经多年的入堆辐照经验，质量可靠，安全性高。同时该标准融合了压水堆钴靶件研制过程中设计文件及变更，并通过靶件的研制生产验证了其科学性。</w:t>
      </w:r>
    </w:p>
    <w:p>
      <w:pPr>
        <w:spacing w:beforeLines="50" w:afterLines="50" w:line="500" w:lineRule="exact"/>
        <w:ind w:firstLine="480" w:firstLineChars="200"/>
        <w:rPr>
          <w:sz w:val="24"/>
          <w:szCs w:val="24"/>
        </w:rPr>
      </w:pPr>
      <w:r>
        <w:rPr>
          <w:rFonts w:hint="eastAsia"/>
          <w:sz w:val="24"/>
          <w:szCs w:val="24"/>
        </w:rPr>
        <w:t>（2）实用性</w:t>
      </w:r>
    </w:p>
    <w:p>
      <w:pPr>
        <w:spacing w:beforeLines="50" w:afterLines="50" w:line="500" w:lineRule="exact"/>
        <w:ind w:firstLine="480" w:firstLineChars="200"/>
        <w:rPr>
          <w:sz w:val="24"/>
          <w:szCs w:val="24"/>
        </w:rPr>
      </w:pPr>
      <w:r>
        <w:rPr>
          <w:rFonts w:hint="eastAsia"/>
          <w:sz w:val="24"/>
          <w:szCs w:val="24"/>
        </w:rPr>
        <w:t>本标准规定了压水堆钴靶件原材料、中间产品、最终产品的技术指标，明确了相应的取样要求及检验方法标准，以统一产品合格性判定的评价标准，使其向科学化、合理化方向迈进，减少评价的主观性和随意性，从而达到提高核行业对钴靶件产品质量管控水平的目的。</w:t>
      </w:r>
    </w:p>
    <w:p>
      <w:pPr>
        <w:spacing w:beforeLines="50" w:afterLines="50" w:line="500" w:lineRule="exact"/>
        <w:rPr>
          <w:rFonts w:eastAsia="黑体"/>
          <w:sz w:val="28"/>
        </w:rPr>
      </w:pPr>
      <w:r>
        <w:rPr>
          <w:rFonts w:hint="eastAsia" w:eastAsia="黑体"/>
          <w:sz w:val="28"/>
        </w:rPr>
        <w:t>2、标准主要内容的依据</w:t>
      </w:r>
    </w:p>
    <w:p>
      <w:pPr>
        <w:spacing w:line="500" w:lineRule="exact"/>
        <w:ind w:firstLine="480" w:firstLineChars="200"/>
        <w:rPr>
          <w:sz w:val="24"/>
          <w:szCs w:val="24"/>
        </w:rPr>
      </w:pPr>
      <w:r>
        <w:rPr>
          <w:rFonts w:hint="eastAsia"/>
          <w:sz w:val="24"/>
          <w:szCs w:val="24"/>
        </w:rPr>
        <w:t xml:space="preserve">压水堆钴靶件是充分利用压水堆辐照吸收中子来生产Co-60的控制棒组件。本组件的核心结构为钴棒部分，钴棒内部装填数个钴棒节，钴棒节内部装填钴粒。钴棒和钴棒节两者都是由锆-4合金包壳管和端塞两端封焊组成的，故焊接密封性直接影响堆内运行的安全性。所以本规范为了保证组件运行的安全性、经济性，减少辐照后的放射性废物的剂量水平，对钴棒及钴棒节制造的原材料和成品的化学性能、物理性能进行了规定。钴粒的性能直接影响到钴源的辐照性能，为了保证辐照后钴粒具有优良的性能，本规范规定了钴粒的各项物理化学性能指标。同时，考虑到出堆后解体的安全性、经济性等，规定了钴粒镀镍层的各项性能指标。 </w:t>
      </w:r>
    </w:p>
    <w:p>
      <w:pPr>
        <w:spacing w:beforeLines="50" w:afterLines="50" w:line="500" w:lineRule="exact"/>
        <w:rPr>
          <w:rFonts w:eastAsia="黑体"/>
          <w:sz w:val="28"/>
        </w:rPr>
      </w:pPr>
      <w:r>
        <w:rPr>
          <w:rFonts w:hint="eastAsia" w:eastAsia="黑体"/>
          <w:sz w:val="28"/>
        </w:rPr>
        <w:t>3、解决的主要问题</w:t>
      </w:r>
    </w:p>
    <w:p>
      <w:pPr>
        <w:spacing w:line="500" w:lineRule="exact"/>
        <w:ind w:firstLine="480" w:firstLineChars="200"/>
        <w:rPr>
          <w:sz w:val="24"/>
          <w:szCs w:val="24"/>
        </w:rPr>
      </w:pPr>
      <w:r>
        <w:rPr>
          <w:rFonts w:hint="eastAsia"/>
          <w:sz w:val="24"/>
          <w:szCs w:val="24"/>
        </w:rPr>
        <w:t>高比活度的放射源主要依靠进口，目前国内正在进行利用核反应堆进行高比活度的Co-60放射源生产的研发。压水堆钴靶件是充分利用压水堆辐照吸收中子来生产Co-60的控制棒组件。中核北方研制的13组压水堆钴调节棒组件已交付岭澳核电站入堆辐照，堆内运行稳定，安全可靠，后期压水堆钴调节棒组件将扩大生产规模。本规范的制定不但保护了我国压水堆钴靶件的自主知识产权，同时对本标准的贯彻执行可以保证产品质量和压水堆生产钴放射源的安全性和经济适用性。</w:t>
      </w:r>
    </w:p>
    <w:p>
      <w:pPr>
        <w:spacing w:line="500" w:lineRule="exact"/>
        <w:ind w:firstLine="480" w:firstLineChars="200"/>
        <w:rPr>
          <w:sz w:val="24"/>
          <w:szCs w:val="24"/>
        </w:rPr>
      </w:pPr>
      <w:r>
        <w:rPr>
          <w:rFonts w:hint="eastAsia"/>
          <w:sz w:val="24"/>
          <w:szCs w:val="24"/>
        </w:rPr>
        <w:t>标准制定过程中解决的具体问题情况如下：</w:t>
      </w:r>
    </w:p>
    <w:p>
      <w:pPr>
        <w:spacing w:line="500" w:lineRule="exact"/>
        <w:ind w:firstLine="480" w:firstLineChars="200"/>
        <w:rPr>
          <w:sz w:val="24"/>
          <w:szCs w:val="24"/>
        </w:rPr>
      </w:pPr>
      <w:r>
        <w:rPr>
          <w:sz w:val="24"/>
          <w:szCs w:val="24"/>
        </w:rPr>
        <w:t>1</w:t>
      </w:r>
      <w:r>
        <w:rPr>
          <w:rFonts w:hint="eastAsia"/>
          <w:sz w:val="24"/>
          <w:szCs w:val="24"/>
        </w:rPr>
        <w:t>、承制之初，由于压水堆生产钴源还处于空白阶段，中核北方依据多年制造的重水堆钴调节棒组件烧结钴块的制造经验，拟定了烧结钴粒和钴粒镀镍层的初步技术要求，并联合中广核研究院进行了相关理论分析及验证试验，最终确定了合理的技术条件。</w:t>
      </w:r>
    </w:p>
    <w:p>
      <w:pPr>
        <w:spacing w:line="500" w:lineRule="exact"/>
        <w:ind w:firstLine="480" w:firstLineChars="200"/>
        <w:rPr>
          <w:sz w:val="24"/>
          <w:szCs w:val="24"/>
        </w:rPr>
      </w:pPr>
      <w:r>
        <w:rPr>
          <w:rFonts w:hint="eastAsia"/>
          <w:sz w:val="24"/>
          <w:szCs w:val="24"/>
        </w:rPr>
        <w:t>2、由于钴粒尺寸小（Φ1</w:t>
      </w:r>
      <w:r>
        <w:rPr>
          <w:rFonts w:hint="eastAsia" w:ascii="宋体" w:hAnsi="宋体"/>
          <w:sz w:val="24"/>
          <w:szCs w:val="24"/>
        </w:rPr>
        <w:t>×</w:t>
      </w:r>
      <w:r>
        <w:rPr>
          <w:rFonts w:hint="eastAsia"/>
          <w:sz w:val="24"/>
          <w:szCs w:val="24"/>
        </w:rPr>
        <w:t>1.75mm）、数量多，钴粒尺寸及粗糙度检查若采用100%检查，效率较低。中核北方进行了试验阶段多批次的全检和检测数据的分析，对工艺的稳定性进行了评价，依此按照GB/2828.1提出了相应检验的抽检和评级标准，在有效保证产品质量同时兼顾了检测效率和成本，从钴粒的装填状态和产品后续工艺的制造情况，该检验要求设置经济、高效、合理。</w:t>
      </w:r>
    </w:p>
    <w:p>
      <w:pPr>
        <w:spacing w:line="500" w:lineRule="exact"/>
        <w:ind w:firstLine="480" w:firstLineChars="200"/>
        <w:rPr>
          <w:sz w:val="24"/>
          <w:szCs w:val="24"/>
        </w:rPr>
      </w:pPr>
      <w:r>
        <w:rPr>
          <w:rFonts w:hint="eastAsia"/>
          <w:sz w:val="24"/>
          <w:szCs w:val="24"/>
        </w:rPr>
        <w:t>3、对于钴粒粗糙度的检验，由于钴粒尺寸小，粗糙度仪无法直接检测，通过建立钴粒粗糙度标样的方式，由具有目视检验资质的专检人员通过与标样对比的方法进行合格性判定，实现了钴粒粗糙度的检测，且检测效率较高。</w:t>
      </w:r>
    </w:p>
    <w:p>
      <w:pPr>
        <w:spacing w:line="500" w:lineRule="exact"/>
        <w:ind w:firstLine="480" w:firstLineChars="200"/>
        <w:rPr>
          <w:sz w:val="24"/>
          <w:szCs w:val="24"/>
        </w:rPr>
      </w:pPr>
      <w:r>
        <w:rPr>
          <w:rFonts w:hint="eastAsia"/>
          <w:sz w:val="24"/>
          <w:szCs w:val="24"/>
        </w:rPr>
        <w:t>4、锆基体管柱面的钴粒填装孔排列密集、孔径小而深度大，精度要求高，加工难度大，加工效率低。中核北方通过加工工艺试验，得出了不影响产品使用需求情况下的优化加工精度、效率组合，提出了经济合理的加工精度要求，既保证了加工效率及合格率，又不影响产品的功能及使用。</w:t>
      </w:r>
    </w:p>
    <w:p>
      <w:pPr>
        <w:spacing w:line="500" w:lineRule="exact"/>
        <w:ind w:firstLine="480" w:firstLineChars="200"/>
        <w:rPr>
          <w:sz w:val="24"/>
          <w:szCs w:val="24"/>
        </w:rPr>
      </w:pPr>
      <w:r>
        <w:rPr>
          <w:rFonts w:hint="eastAsia"/>
          <w:sz w:val="24"/>
          <w:szCs w:val="24"/>
        </w:rPr>
        <w:t xml:space="preserve">5、压水堆钴靶件钴棒内部填充压力（45bar）远高于重水堆钴靶件钴棒（1bar）的要求，也比常规的压水堆燃料棒充氦压力（20bar）和其它燃料棒充氦压力（1bar）高出很多。端塞和封头充氦孔的孔径设计是保证其充氦压力和封装质量的关键。孔径大，堵孔时容易出现焊漏，孔径小，容易出现气胀。中核北方经过系列焊接试验，最终确定了优化的孔径尺寸，保证了充氦封装的质量和制造经济性。 </w:t>
      </w:r>
    </w:p>
    <w:p>
      <w:pPr>
        <w:numPr>
          <w:ilvl w:val="0"/>
          <w:numId w:val="2"/>
        </w:numPr>
        <w:spacing w:beforeLines="100" w:line="500" w:lineRule="exact"/>
        <w:rPr>
          <w:rFonts w:eastAsia="黑体"/>
          <w:sz w:val="32"/>
        </w:rPr>
      </w:pPr>
      <w:r>
        <w:rPr>
          <w:rFonts w:hint="eastAsia" w:eastAsia="黑体"/>
          <w:sz w:val="32"/>
        </w:rPr>
        <w:t>主要试验（或验证）情况</w:t>
      </w:r>
    </w:p>
    <w:p>
      <w:pPr>
        <w:spacing w:line="500" w:lineRule="exact"/>
        <w:ind w:firstLine="480" w:firstLineChars="200"/>
        <w:rPr>
          <w:sz w:val="24"/>
          <w:szCs w:val="24"/>
        </w:rPr>
      </w:pPr>
      <w:r>
        <w:rPr>
          <w:rFonts w:hint="eastAsia"/>
          <w:sz w:val="24"/>
          <w:szCs w:val="24"/>
        </w:rPr>
        <w:t>在本标准编制过程中主要参阅了压水堆钴靶件研制总结报告和完工报告，并对其相应检测结果进行了统计分析。</w:t>
      </w:r>
    </w:p>
    <w:p>
      <w:pPr>
        <w:spacing w:line="500" w:lineRule="exact"/>
        <w:ind w:firstLine="480" w:firstLineChars="200"/>
        <w:rPr>
          <w:sz w:val="24"/>
          <w:szCs w:val="24"/>
        </w:rPr>
      </w:pPr>
      <w:r>
        <w:rPr>
          <w:rFonts w:hint="eastAsia"/>
          <w:sz w:val="24"/>
          <w:szCs w:val="24"/>
        </w:rPr>
        <w:t>同时针对压水堆靶件研制生产中主要的设计变更：烧结钴粒和钴粒镀镍层的初步技术要求、钴粒尺寸粗糙度要求、锆基体管钴粒填装孔加工精度要求、端塞和封头充氦孔的孔径设计等进行了检测数据统计分析和相应的试验验证。通过钴粒的批量制备试验和检测分析，验证了本标准中钴粒成分、晶粒度、密度等技术指标的科学性和经济性；通过批量的芯块镀镍试验及抽样检测，验证了镀层技术指标的合理性；统计了100根锆基体管的钴粒填装孔加工及尺寸检测结果，合理设计了其加工精度；通过同批芯块尺寸的全检和多次反复取样检测数据比对，验证了抽样方案的置信度。</w:t>
      </w:r>
    </w:p>
    <w:p>
      <w:pPr>
        <w:numPr>
          <w:ilvl w:val="0"/>
          <w:numId w:val="2"/>
        </w:numPr>
        <w:spacing w:beforeLines="100" w:line="500" w:lineRule="exact"/>
        <w:rPr>
          <w:rFonts w:eastAsia="黑体"/>
          <w:sz w:val="32"/>
        </w:rPr>
      </w:pPr>
      <w:r>
        <w:rPr>
          <w:rFonts w:hint="eastAsia" w:eastAsia="黑体"/>
          <w:sz w:val="32"/>
        </w:rPr>
        <w:t>标准中涉及专利的情况</w:t>
      </w:r>
    </w:p>
    <w:p>
      <w:pPr>
        <w:spacing w:line="500" w:lineRule="exact"/>
        <w:ind w:firstLine="480" w:firstLineChars="200"/>
        <w:jc w:val="left"/>
        <w:rPr>
          <w:rFonts w:eastAsia="黑体"/>
          <w:sz w:val="32"/>
          <w:highlight w:val="yellow"/>
        </w:rPr>
      </w:pPr>
      <w:r>
        <w:rPr>
          <w:rFonts w:hint="eastAsia"/>
          <w:sz w:val="24"/>
          <w:szCs w:val="24"/>
        </w:rPr>
        <w:t>本标准不涉及专利问题。</w:t>
      </w:r>
    </w:p>
    <w:p>
      <w:pPr>
        <w:numPr>
          <w:ilvl w:val="0"/>
          <w:numId w:val="2"/>
        </w:numPr>
        <w:spacing w:beforeLines="100" w:line="500" w:lineRule="exact"/>
        <w:rPr>
          <w:rFonts w:eastAsia="黑体"/>
          <w:sz w:val="32"/>
        </w:rPr>
      </w:pPr>
      <w:r>
        <w:rPr>
          <w:rFonts w:hint="eastAsia" w:eastAsia="黑体"/>
          <w:sz w:val="32"/>
        </w:rPr>
        <w:t>预期达到的社会效益、对产业发展的作用等情况</w:t>
      </w:r>
    </w:p>
    <w:p>
      <w:pPr>
        <w:spacing w:line="500" w:lineRule="exact"/>
        <w:ind w:firstLine="480" w:firstLineChars="200"/>
        <w:rPr>
          <w:sz w:val="24"/>
          <w:szCs w:val="24"/>
        </w:rPr>
      </w:pPr>
      <w:r>
        <w:rPr>
          <w:rFonts w:hint="eastAsia"/>
          <w:sz w:val="24"/>
          <w:szCs w:val="24"/>
        </w:rPr>
        <w:t>用压水堆生产钴的放射性同位素属于全国首例，不但可以缓减国内钴源的缺口，打破国外的垄断，也给生产钴源提供了新的思路和方法。本标准的建立，为为压水堆核电站进行钴源的生产提供了参照标准和安全保障，为压水堆钴靶件的生产制造提供了规范性指导文件。压水堆生产钴源可以带来一定的收益，提高压水堆核电站的经济效益。</w:t>
      </w:r>
    </w:p>
    <w:p>
      <w:pPr>
        <w:spacing w:line="500" w:lineRule="exact"/>
        <w:ind w:firstLine="480" w:firstLineChars="200"/>
        <w:rPr>
          <w:sz w:val="24"/>
          <w:szCs w:val="24"/>
        </w:rPr>
      </w:pPr>
    </w:p>
    <w:p>
      <w:pPr>
        <w:numPr>
          <w:ilvl w:val="0"/>
          <w:numId w:val="2"/>
        </w:numPr>
        <w:spacing w:beforeLines="100" w:line="500" w:lineRule="exact"/>
        <w:rPr>
          <w:rFonts w:eastAsia="黑体"/>
          <w:sz w:val="32"/>
        </w:rPr>
      </w:pPr>
      <w:r>
        <w:rPr>
          <w:rFonts w:hint="eastAsia" w:eastAsia="黑体"/>
          <w:sz w:val="32"/>
        </w:rPr>
        <w:t>与国际、国外对比情况</w:t>
      </w:r>
    </w:p>
    <w:p>
      <w:pPr>
        <w:spacing w:beforeLines="50" w:line="500" w:lineRule="exact"/>
        <w:ind w:firstLine="480" w:firstLineChars="200"/>
        <w:rPr>
          <w:rFonts w:eastAsia="黑体"/>
          <w:sz w:val="32"/>
          <w:highlight w:val="yellow"/>
        </w:rPr>
      </w:pPr>
      <w:r>
        <w:rPr>
          <w:rFonts w:hint="eastAsia"/>
          <w:sz w:val="24"/>
          <w:szCs w:val="24"/>
        </w:rPr>
        <w:t>国外由于技术保护的原因无相关详细技术资料，国内在钴靶件规范方面仅有重水堆钴调节棒组件规范核行业标准，由于使用环境不同，靶件的结构和技术要求不同，有一定的借鉴价值，但不完全适用。本技术规范具有完全的自主知识产权，已经有产品研制批量生产入堆，技术成熟，处于国内先进水平。</w:t>
      </w:r>
    </w:p>
    <w:p>
      <w:pPr>
        <w:numPr>
          <w:ilvl w:val="0"/>
          <w:numId w:val="2"/>
        </w:numPr>
        <w:spacing w:beforeLines="100" w:line="500" w:lineRule="exact"/>
        <w:rPr>
          <w:rFonts w:eastAsia="黑体"/>
          <w:sz w:val="32"/>
        </w:rPr>
      </w:pPr>
      <w:r>
        <w:rPr>
          <w:rFonts w:hint="eastAsia" w:eastAsia="黑体"/>
          <w:sz w:val="32"/>
        </w:rPr>
        <w:t>在标准体系中的位置，与现行的相关法律、法规、规章及标准，特别是强制性标准的协调性</w:t>
      </w:r>
    </w:p>
    <w:p>
      <w:pPr>
        <w:spacing w:beforeLines="50" w:line="500" w:lineRule="exact"/>
        <w:ind w:firstLine="480" w:firstLineChars="200"/>
        <w:rPr>
          <w:sz w:val="24"/>
          <w:szCs w:val="24"/>
        </w:rPr>
      </w:pPr>
      <w:r>
        <w:rPr>
          <w:rFonts w:hint="eastAsia"/>
          <w:sz w:val="24"/>
          <w:szCs w:val="24"/>
        </w:rPr>
        <w:t>本标准与现行的法律、法规是统一并相互协调的。本标准根据钴调节棒产品的研制生产经验反馈制定，部分技术条件参照了</w:t>
      </w:r>
      <w:r>
        <w:rPr>
          <w:sz w:val="24"/>
          <w:szCs w:val="24"/>
        </w:rPr>
        <w:t xml:space="preserve">EJ/T </w:t>
      </w:r>
      <w:r>
        <w:rPr>
          <w:rFonts w:hint="eastAsia"/>
          <w:sz w:val="24"/>
          <w:szCs w:val="24"/>
        </w:rPr>
        <w:t>20145</w:t>
      </w:r>
      <w:r>
        <w:rPr>
          <w:sz w:val="24"/>
          <w:szCs w:val="24"/>
        </w:rPr>
        <w:t>—201</w:t>
      </w:r>
      <w:r>
        <w:rPr>
          <w:rFonts w:hint="eastAsia"/>
          <w:sz w:val="24"/>
          <w:szCs w:val="24"/>
        </w:rPr>
        <w:t>6《CANDU-6重水堆用钴-59调节棒组件规范》，钴粒检测部分的相关规定一致，相关的检测方法相同，可互相补充使用。</w:t>
      </w:r>
    </w:p>
    <w:p>
      <w:pPr>
        <w:numPr>
          <w:ilvl w:val="0"/>
          <w:numId w:val="2"/>
        </w:numPr>
        <w:spacing w:beforeLines="100" w:line="500" w:lineRule="exact"/>
        <w:rPr>
          <w:rFonts w:eastAsia="黑体"/>
          <w:sz w:val="32"/>
        </w:rPr>
      </w:pPr>
      <w:r>
        <w:rPr>
          <w:rFonts w:hint="eastAsia" w:eastAsia="黑体"/>
          <w:sz w:val="32"/>
        </w:rPr>
        <w:t>重大分歧意见的处理经过和依据</w:t>
      </w:r>
    </w:p>
    <w:p>
      <w:pPr>
        <w:spacing w:beforeLines="50" w:line="500" w:lineRule="exact"/>
        <w:ind w:firstLine="480" w:firstLineChars="200"/>
        <w:rPr>
          <w:rFonts w:hAnsiTheme="minorEastAsia" w:eastAsiaTheme="minorEastAsia"/>
          <w:sz w:val="24"/>
          <w:szCs w:val="24"/>
        </w:rPr>
      </w:pPr>
      <w:r>
        <w:rPr>
          <w:rFonts w:hint="eastAsia" w:hAnsiTheme="minorEastAsia" w:eastAsiaTheme="minorEastAsia"/>
          <w:sz w:val="24"/>
          <w:szCs w:val="24"/>
        </w:rPr>
        <w:t>本标准在编写过程中没有重大意见分歧。</w:t>
      </w:r>
    </w:p>
    <w:p>
      <w:pPr>
        <w:numPr>
          <w:ilvl w:val="0"/>
          <w:numId w:val="2"/>
        </w:numPr>
        <w:spacing w:beforeLines="100" w:line="500" w:lineRule="exact"/>
        <w:rPr>
          <w:rFonts w:eastAsia="黑体"/>
          <w:sz w:val="32"/>
        </w:rPr>
      </w:pPr>
      <w:r>
        <w:rPr>
          <w:rFonts w:hint="eastAsia" w:eastAsia="黑体"/>
          <w:sz w:val="32"/>
        </w:rPr>
        <w:t>标准性质的建议说明</w:t>
      </w:r>
    </w:p>
    <w:p>
      <w:pPr>
        <w:spacing w:beforeLines="50" w:line="500" w:lineRule="exact"/>
        <w:ind w:firstLine="480" w:firstLineChars="200"/>
        <w:rPr>
          <w:sz w:val="24"/>
          <w:szCs w:val="24"/>
        </w:rPr>
      </w:pPr>
      <w:r>
        <w:rPr>
          <w:rFonts w:hint="eastAsia"/>
          <w:sz w:val="24"/>
          <w:szCs w:val="24"/>
        </w:rPr>
        <w:t>本标准的性质为核能行业协会团体标准。</w:t>
      </w:r>
    </w:p>
    <w:p>
      <w:pPr>
        <w:numPr>
          <w:ilvl w:val="0"/>
          <w:numId w:val="2"/>
        </w:numPr>
        <w:spacing w:beforeLines="100" w:line="500" w:lineRule="exact"/>
        <w:rPr>
          <w:rFonts w:eastAsia="黑体"/>
          <w:sz w:val="32"/>
        </w:rPr>
      </w:pPr>
      <w:r>
        <w:rPr>
          <w:rFonts w:hint="eastAsia" w:eastAsia="黑体"/>
          <w:sz w:val="32"/>
        </w:rPr>
        <w:t>贯彻标准的要求和措施建议</w:t>
      </w:r>
    </w:p>
    <w:p>
      <w:pPr>
        <w:spacing w:beforeLines="100" w:line="500" w:lineRule="exact"/>
        <w:ind w:firstLine="480" w:firstLineChars="200"/>
        <w:rPr>
          <w:rFonts w:eastAsia="黑体"/>
          <w:sz w:val="32"/>
        </w:rPr>
      </w:pPr>
      <w:r>
        <w:rPr>
          <w:rFonts w:hint="eastAsia" w:hAnsiTheme="minorEastAsia" w:eastAsiaTheme="minorEastAsia"/>
          <w:sz w:val="24"/>
          <w:szCs w:val="24"/>
        </w:rPr>
        <w:t>无。</w:t>
      </w:r>
    </w:p>
    <w:p>
      <w:pPr>
        <w:numPr>
          <w:ilvl w:val="0"/>
          <w:numId w:val="2"/>
        </w:numPr>
        <w:spacing w:beforeLines="100" w:line="500" w:lineRule="exact"/>
        <w:rPr>
          <w:rFonts w:eastAsia="黑体"/>
          <w:sz w:val="32"/>
        </w:rPr>
      </w:pPr>
      <w:r>
        <w:rPr>
          <w:rFonts w:hint="eastAsia" w:eastAsia="黑体"/>
          <w:sz w:val="32"/>
        </w:rPr>
        <w:t>废止现行相关标准的建议</w:t>
      </w:r>
    </w:p>
    <w:p>
      <w:pPr>
        <w:spacing w:beforeLines="100" w:line="500" w:lineRule="exact"/>
        <w:ind w:firstLine="480" w:firstLineChars="200"/>
        <w:rPr>
          <w:rFonts w:eastAsia="黑体"/>
          <w:sz w:val="32"/>
        </w:rPr>
      </w:pPr>
      <w:r>
        <w:rPr>
          <w:rFonts w:hint="eastAsia" w:hAnsiTheme="minorEastAsia" w:eastAsiaTheme="minorEastAsia"/>
          <w:sz w:val="24"/>
          <w:szCs w:val="24"/>
        </w:rPr>
        <w:t>无。</w:t>
      </w:r>
    </w:p>
    <w:p>
      <w:pPr>
        <w:numPr>
          <w:ilvl w:val="0"/>
          <w:numId w:val="2"/>
        </w:numPr>
        <w:spacing w:beforeLines="100" w:line="500" w:lineRule="exact"/>
        <w:rPr>
          <w:rFonts w:eastAsia="黑体"/>
          <w:sz w:val="32"/>
        </w:rPr>
      </w:pPr>
      <w:r>
        <w:rPr>
          <w:rFonts w:hint="eastAsia" w:eastAsia="黑体"/>
          <w:sz w:val="32"/>
        </w:rPr>
        <w:t>其他应与说明的事项</w:t>
      </w:r>
    </w:p>
    <w:p>
      <w:pPr>
        <w:spacing w:line="500" w:lineRule="exact"/>
        <w:ind w:firstLine="480" w:firstLineChars="200"/>
        <w:rPr>
          <w:rFonts w:hAnsiTheme="minorEastAsia" w:eastAsiaTheme="minorEastAsia"/>
          <w:sz w:val="24"/>
          <w:szCs w:val="24"/>
        </w:rPr>
      </w:pPr>
      <w:r>
        <w:rPr>
          <w:rFonts w:hint="eastAsia" w:hAnsiTheme="minorEastAsia" w:eastAsiaTheme="minorEastAsia"/>
          <w:sz w:val="24"/>
          <w:szCs w:val="24"/>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2600AA"/>
    <w:multiLevelType w:val="multilevel"/>
    <w:tmpl w:val="2B2600AA"/>
    <w:lvl w:ilvl="0" w:tentative="0">
      <w:start w:val="1"/>
      <w:numFmt w:val="japaneseCounting"/>
      <w:lvlText w:val="%1、"/>
      <w:lvlJc w:val="left"/>
      <w:pPr>
        <w:tabs>
          <w:tab w:val="left" w:pos="720"/>
        </w:tabs>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45E0696D"/>
    <w:multiLevelType w:val="multilevel"/>
    <w:tmpl w:val="45E0696D"/>
    <w:lvl w:ilvl="0" w:tentative="0">
      <w:start w:val="1"/>
      <w:numFmt w:val="none"/>
      <w:pStyle w:val="13"/>
      <w:suff w:val="nothing"/>
      <w:lvlText w:val="%1"/>
      <w:lvlJc w:val="left"/>
      <w:pPr>
        <w:ind w:left="0" w:firstLine="0"/>
      </w:pPr>
      <w:rPr>
        <w:rFonts w:hint="default" w:ascii="Times New Roman" w:hAnsi="Times New Roman" w:cs="Times New Roman"/>
        <w:b/>
        <w:i w:val="0"/>
        <w:sz w:val="21"/>
      </w:rPr>
    </w:lvl>
    <w:lvl w:ilvl="1" w:tentative="0">
      <w:start w:val="1"/>
      <w:numFmt w:val="chineseCountingThousand"/>
      <w:pStyle w:val="10"/>
      <w:suff w:val="nothing"/>
      <w:lvlText w:val="%2、"/>
      <w:lvlJc w:val="left"/>
      <w:pPr>
        <w:ind w:left="851" w:firstLine="0"/>
      </w:pPr>
      <w:rPr>
        <w:rFonts w:cs="Times New Roman"/>
        <w:b w:val="0"/>
        <w:bCs w:val="0"/>
        <w:i w:val="0"/>
        <w:iCs w:val="0"/>
        <w:caps w:val="0"/>
        <w:smallCaps w:val="0"/>
        <w:strike w:val="0"/>
        <w:dstrike w:val="0"/>
        <w:outline w:val="0"/>
        <w:shadow w:val="0"/>
        <w:emboss w:val="0"/>
        <w:imprint w:val="0"/>
        <w:vanish w:val="0"/>
        <w:spacing w:val="0"/>
        <w:position w:val="0"/>
        <w:u w:val="none"/>
        <w:vertAlign w:val="baseline"/>
        <w:lang w:val="en-US"/>
      </w:rPr>
    </w:lvl>
    <w:lvl w:ilvl="2" w:tentative="0">
      <w:start w:val="1"/>
      <w:numFmt w:val="chineseCountingThousand"/>
      <w:pStyle w:val="11"/>
      <w:suff w:val="nothing"/>
      <w:lvlText w:val="%1(%3)"/>
      <w:lvlJc w:val="left"/>
      <w:pPr>
        <w:ind w:left="0" w:firstLine="0"/>
      </w:pPr>
    </w:lvl>
    <w:lvl w:ilvl="3" w:tentative="0">
      <w:start w:val="1"/>
      <w:numFmt w:val="decimal"/>
      <w:pStyle w:val="12"/>
      <w:suff w:val="nothing"/>
      <w:lvlText w:val="%1%4."/>
      <w:lvlJc w:val="left"/>
      <w:pPr>
        <w:ind w:left="0" w:firstLine="0"/>
      </w:pPr>
      <w:rPr>
        <w:rFonts w:hAnsi="Times New Roman" w:cs="Times New Roman"/>
        <w:b w:val="0"/>
        <w:bCs w:val="0"/>
        <w:i w:val="0"/>
        <w:iCs w:val="0"/>
        <w:caps w:val="0"/>
        <w:smallCaps w:val="0"/>
        <w:strike w:val="0"/>
        <w:dstrike w:val="0"/>
        <w:outline w:val="0"/>
        <w:shadow w:val="0"/>
        <w:emboss w:val="0"/>
        <w:imprint w:val="0"/>
        <w:vanish w:val="0"/>
        <w:kern w:val="0"/>
        <w:position w:val="0"/>
        <w:u w:val="none"/>
        <w:vertAlign w:val="baseline"/>
      </w:rPr>
    </w:lvl>
    <w:lvl w:ilvl="4" w:tentative="0">
      <w:start w:val="1"/>
      <w:numFmt w:val="decimal"/>
      <w:pStyle w:val="14"/>
      <w:suff w:val="nothing"/>
      <w:lvlText w:val="%1（%5）"/>
      <w:lvlJc w:val="left"/>
      <w:pPr>
        <w:ind w:left="0" w:firstLine="0"/>
      </w:pPr>
      <w:rPr>
        <w:b w:val="0"/>
      </w:rPr>
    </w:lvl>
    <w:lvl w:ilvl="5" w:tentative="0">
      <w:start w:val="1"/>
      <w:numFmt w:val="lowerLetter"/>
      <w:pStyle w:val="15"/>
      <w:suff w:val="nothing"/>
      <w:lvlText w:val="%1%6)"/>
      <w:lvlJc w:val="left"/>
      <w:pPr>
        <w:ind w:left="0" w:firstLine="0"/>
      </w:pPr>
      <w:rPr>
        <w:b w:val="0"/>
      </w:rPr>
    </w:lvl>
    <w:lvl w:ilvl="6" w:tentative="0">
      <w:start w:val="1"/>
      <w:numFmt w:val="decimal"/>
      <w:pStyle w:val="1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63AE7"/>
    <w:rsid w:val="0000060C"/>
    <w:rsid w:val="00000FDA"/>
    <w:rsid w:val="0002793B"/>
    <w:rsid w:val="000335BC"/>
    <w:rsid w:val="00033FEF"/>
    <w:rsid w:val="00037791"/>
    <w:rsid w:val="000419EB"/>
    <w:rsid w:val="00067904"/>
    <w:rsid w:val="00074CFA"/>
    <w:rsid w:val="000A3612"/>
    <w:rsid w:val="000B2A17"/>
    <w:rsid w:val="000B7CB3"/>
    <w:rsid w:val="000E3A80"/>
    <w:rsid w:val="000F42F1"/>
    <w:rsid w:val="00137FF4"/>
    <w:rsid w:val="0014196B"/>
    <w:rsid w:val="00160A9A"/>
    <w:rsid w:val="00162FDA"/>
    <w:rsid w:val="001660AA"/>
    <w:rsid w:val="00170FEF"/>
    <w:rsid w:val="0017438E"/>
    <w:rsid w:val="00174EEA"/>
    <w:rsid w:val="00192D57"/>
    <w:rsid w:val="00194540"/>
    <w:rsid w:val="001975C0"/>
    <w:rsid w:val="001A5673"/>
    <w:rsid w:val="001A6FDD"/>
    <w:rsid w:val="001B7373"/>
    <w:rsid w:val="001D25B8"/>
    <w:rsid w:val="001F28F8"/>
    <w:rsid w:val="001F2E5C"/>
    <w:rsid w:val="001F4CB7"/>
    <w:rsid w:val="002111EE"/>
    <w:rsid w:val="00221BB8"/>
    <w:rsid w:val="00241066"/>
    <w:rsid w:val="00256D09"/>
    <w:rsid w:val="002A57A7"/>
    <w:rsid w:val="002A5D6B"/>
    <w:rsid w:val="002A65A9"/>
    <w:rsid w:val="002B2CCF"/>
    <w:rsid w:val="002B7D3B"/>
    <w:rsid w:val="002F03B2"/>
    <w:rsid w:val="002F7574"/>
    <w:rsid w:val="003022C5"/>
    <w:rsid w:val="00304552"/>
    <w:rsid w:val="00313963"/>
    <w:rsid w:val="003218B2"/>
    <w:rsid w:val="00340AA0"/>
    <w:rsid w:val="00343559"/>
    <w:rsid w:val="00352D28"/>
    <w:rsid w:val="0035563D"/>
    <w:rsid w:val="00363A97"/>
    <w:rsid w:val="003661DE"/>
    <w:rsid w:val="00371F31"/>
    <w:rsid w:val="003772DD"/>
    <w:rsid w:val="003836B6"/>
    <w:rsid w:val="00390F05"/>
    <w:rsid w:val="003956AC"/>
    <w:rsid w:val="003C1311"/>
    <w:rsid w:val="003D65A9"/>
    <w:rsid w:val="003D71F6"/>
    <w:rsid w:val="00403C1F"/>
    <w:rsid w:val="00406170"/>
    <w:rsid w:val="00423496"/>
    <w:rsid w:val="00431578"/>
    <w:rsid w:val="00432CAF"/>
    <w:rsid w:val="00433382"/>
    <w:rsid w:val="00435955"/>
    <w:rsid w:val="004364B9"/>
    <w:rsid w:val="004436C1"/>
    <w:rsid w:val="0045624E"/>
    <w:rsid w:val="004C10F5"/>
    <w:rsid w:val="004C403F"/>
    <w:rsid w:val="004C450F"/>
    <w:rsid w:val="004F7718"/>
    <w:rsid w:val="0051465B"/>
    <w:rsid w:val="00514FC3"/>
    <w:rsid w:val="00525104"/>
    <w:rsid w:val="00541F5A"/>
    <w:rsid w:val="00545F84"/>
    <w:rsid w:val="00555A93"/>
    <w:rsid w:val="00566E23"/>
    <w:rsid w:val="00570ECB"/>
    <w:rsid w:val="00575F35"/>
    <w:rsid w:val="005977F5"/>
    <w:rsid w:val="005A0A5B"/>
    <w:rsid w:val="005A3AC7"/>
    <w:rsid w:val="005C15F6"/>
    <w:rsid w:val="005C36B8"/>
    <w:rsid w:val="005C6157"/>
    <w:rsid w:val="005D224A"/>
    <w:rsid w:val="005E36A7"/>
    <w:rsid w:val="005F6B2E"/>
    <w:rsid w:val="00610CFF"/>
    <w:rsid w:val="00611A0E"/>
    <w:rsid w:val="00614073"/>
    <w:rsid w:val="00622A59"/>
    <w:rsid w:val="00637C52"/>
    <w:rsid w:val="00647364"/>
    <w:rsid w:val="00653C7E"/>
    <w:rsid w:val="006565B2"/>
    <w:rsid w:val="006613EE"/>
    <w:rsid w:val="00662FE0"/>
    <w:rsid w:val="00672E9D"/>
    <w:rsid w:val="00673517"/>
    <w:rsid w:val="0069066D"/>
    <w:rsid w:val="006C1872"/>
    <w:rsid w:val="006C3C19"/>
    <w:rsid w:val="006C570E"/>
    <w:rsid w:val="006C594C"/>
    <w:rsid w:val="006E31BB"/>
    <w:rsid w:val="006F0063"/>
    <w:rsid w:val="006F5E31"/>
    <w:rsid w:val="00722EF1"/>
    <w:rsid w:val="0074521F"/>
    <w:rsid w:val="00753B49"/>
    <w:rsid w:val="00770619"/>
    <w:rsid w:val="00787EE1"/>
    <w:rsid w:val="007A52D2"/>
    <w:rsid w:val="007B2299"/>
    <w:rsid w:val="007B6B9A"/>
    <w:rsid w:val="007D4FE7"/>
    <w:rsid w:val="007D5762"/>
    <w:rsid w:val="007D6D0C"/>
    <w:rsid w:val="007D7C55"/>
    <w:rsid w:val="007E4795"/>
    <w:rsid w:val="007F0CB6"/>
    <w:rsid w:val="00800A83"/>
    <w:rsid w:val="00801C26"/>
    <w:rsid w:val="00810318"/>
    <w:rsid w:val="00814529"/>
    <w:rsid w:val="00816CDD"/>
    <w:rsid w:val="00832069"/>
    <w:rsid w:val="0083395B"/>
    <w:rsid w:val="00834ED8"/>
    <w:rsid w:val="00843D72"/>
    <w:rsid w:val="0084556D"/>
    <w:rsid w:val="008722EB"/>
    <w:rsid w:val="00877CEC"/>
    <w:rsid w:val="008803C1"/>
    <w:rsid w:val="008814D4"/>
    <w:rsid w:val="008966B5"/>
    <w:rsid w:val="008A3827"/>
    <w:rsid w:val="008C47C4"/>
    <w:rsid w:val="008D38E2"/>
    <w:rsid w:val="008D7A90"/>
    <w:rsid w:val="008E178E"/>
    <w:rsid w:val="008E1DA2"/>
    <w:rsid w:val="009009AF"/>
    <w:rsid w:val="009026E4"/>
    <w:rsid w:val="00903E97"/>
    <w:rsid w:val="00915FBA"/>
    <w:rsid w:val="00946485"/>
    <w:rsid w:val="00963AE7"/>
    <w:rsid w:val="009705FA"/>
    <w:rsid w:val="00986DEF"/>
    <w:rsid w:val="009A354E"/>
    <w:rsid w:val="009C501D"/>
    <w:rsid w:val="009D22F7"/>
    <w:rsid w:val="009D4EF6"/>
    <w:rsid w:val="009D7AFC"/>
    <w:rsid w:val="009F3501"/>
    <w:rsid w:val="00A00874"/>
    <w:rsid w:val="00A31F95"/>
    <w:rsid w:val="00A4176E"/>
    <w:rsid w:val="00A471EA"/>
    <w:rsid w:val="00A47E41"/>
    <w:rsid w:val="00A5074E"/>
    <w:rsid w:val="00A560E6"/>
    <w:rsid w:val="00A66156"/>
    <w:rsid w:val="00A66EFE"/>
    <w:rsid w:val="00A75CD5"/>
    <w:rsid w:val="00A83292"/>
    <w:rsid w:val="00A83823"/>
    <w:rsid w:val="00A86CC0"/>
    <w:rsid w:val="00A91CD7"/>
    <w:rsid w:val="00AA6937"/>
    <w:rsid w:val="00AC2843"/>
    <w:rsid w:val="00AE5AC3"/>
    <w:rsid w:val="00AE6334"/>
    <w:rsid w:val="00B24AC3"/>
    <w:rsid w:val="00B24DAA"/>
    <w:rsid w:val="00B45DFC"/>
    <w:rsid w:val="00B50713"/>
    <w:rsid w:val="00B63FF3"/>
    <w:rsid w:val="00B834E0"/>
    <w:rsid w:val="00C067FC"/>
    <w:rsid w:val="00C20861"/>
    <w:rsid w:val="00C359FE"/>
    <w:rsid w:val="00C4449A"/>
    <w:rsid w:val="00C45DFC"/>
    <w:rsid w:val="00C50566"/>
    <w:rsid w:val="00C61A12"/>
    <w:rsid w:val="00C66322"/>
    <w:rsid w:val="00C74FD6"/>
    <w:rsid w:val="00C7543C"/>
    <w:rsid w:val="00C800B9"/>
    <w:rsid w:val="00C9710D"/>
    <w:rsid w:val="00CA6998"/>
    <w:rsid w:val="00CB16C8"/>
    <w:rsid w:val="00CB5E72"/>
    <w:rsid w:val="00CC616C"/>
    <w:rsid w:val="00CD62A5"/>
    <w:rsid w:val="00CF27F4"/>
    <w:rsid w:val="00D060E9"/>
    <w:rsid w:val="00D30BFD"/>
    <w:rsid w:val="00D310A0"/>
    <w:rsid w:val="00D329D6"/>
    <w:rsid w:val="00D656C4"/>
    <w:rsid w:val="00D76375"/>
    <w:rsid w:val="00D82DC9"/>
    <w:rsid w:val="00D869F9"/>
    <w:rsid w:val="00D92D1D"/>
    <w:rsid w:val="00DA445B"/>
    <w:rsid w:val="00DE42BF"/>
    <w:rsid w:val="00DE53EF"/>
    <w:rsid w:val="00E13CB8"/>
    <w:rsid w:val="00E31F77"/>
    <w:rsid w:val="00E51B39"/>
    <w:rsid w:val="00E52D0E"/>
    <w:rsid w:val="00E56610"/>
    <w:rsid w:val="00E567F8"/>
    <w:rsid w:val="00E61BEE"/>
    <w:rsid w:val="00EA04AC"/>
    <w:rsid w:val="00EB182D"/>
    <w:rsid w:val="00ED6E10"/>
    <w:rsid w:val="00EF5738"/>
    <w:rsid w:val="00F04ACD"/>
    <w:rsid w:val="00F24A3C"/>
    <w:rsid w:val="00F3663D"/>
    <w:rsid w:val="00F4346E"/>
    <w:rsid w:val="00F60F04"/>
    <w:rsid w:val="00F96EF9"/>
    <w:rsid w:val="00F97862"/>
    <w:rsid w:val="00FA7C57"/>
    <w:rsid w:val="00FC5CAC"/>
    <w:rsid w:val="00FC5CBB"/>
    <w:rsid w:val="00FD2567"/>
    <w:rsid w:val="4B6325BD"/>
    <w:rsid w:val="6F6C6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准文件_章标题"/>
    <w:next w:val="1"/>
    <w:uiPriority w:val="99"/>
    <w:pPr>
      <w:numPr>
        <w:ilvl w:val="1"/>
        <w:numId w:val="1"/>
      </w:numPr>
      <w:tabs>
        <w:tab w:val="left" w:pos="0"/>
      </w:tabs>
      <w:spacing w:beforeLines="100"/>
      <w:ind w:left="1702" w:right="-105" w:rightChars="-50"/>
      <w:jc w:val="both"/>
      <w:outlineLvl w:val="1"/>
    </w:pPr>
    <w:rPr>
      <w:rFonts w:ascii="黑体" w:hAnsi="Calibri" w:eastAsia="黑体" w:cs="Times New Roman"/>
      <w:kern w:val="2"/>
      <w:sz w:val="28"/>
      <w:szCs w:val="21"/>
      <w:lang w:val="en-US" w:eastAsia="zh-CN" w:bidi="ar-SA"/>
    </w:rPr>
  </w:style>
  <w:style w:type="paragraph" w:customStyle="1" w:styleId="11">
    <w:name w:val="标准文件_一级条标题"/>
    <w:basedOn w:val="10"/>
    <w:next w:val="1"/>
    <w:qFormat/>
    <w:uiPriority w:val="99"/>
    <w:pPr>
      <w:numPr>
        <w:ilvl w:val="2"/>
      </w:numPr>
      <w:ind w:firstLine="58" w:firstLineChars="58"/>
      <w:outlineLvl w:val="2"/>
    </w:pPr>
  </w:style>
  <w:style w:type="paragraph" w:customStyle="1" w:styleId="12">
    <w:name w:val="标准文件_二级条标题"/>
    <w:basedOn w:val="11"/>
    <w:next w:val="1"/>
    <w:qFormat/>
    <w:uiPriority w:val="99"/>
    <w:pPr>
      <w:numPr>
        <w:ilvl w:val="3"/>
      </w:numPr>
      <w:ind w:firstLine="176" w:firstLineChars="176"/>
      <w:outlineLvl w:val="3"/>
    </w:pPr>
  </w:style>
  <w:style w:type="paragraph" w:customStyle="1" w:styleId="13">
    <w:name w:val="前言标题"/>
    <w:next w:val="1"/>
    <w:uiPriority w:val="99"/>
    <w:pPr>
      <w:numPr>
        <w:ilvl w:val="0"/>
        <w:numId w:val="1"/>
      </w:numPr>
      <w:shd w:val="clear" w:color="auto"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14">
    <w:name w:val="标准文件_三级条标题"/>
    <w:basedOn w:val="12"/>
    <w:next w:val="1"/>
    <w:qFormat/>
    <w:uiPriority w:val="99"/>
    <w:pPr>
      <w:numPr>
        <w:ilvl w:val="4"/>
      </w:numPr>
      <w:outlineLvl w:val="4"/>
    </w:pPr>
    <w:rPr>
      <w:rFonts w:cs="宋体"/>
    </w:rPr>
  </w:style>
  <w:style w:type="paragraph" w:customStyle="1" w:styleId="15">
    <w:name w:val="标准文件_四级条标题"/>
    <w:basedOn w:val="14"/>
    <w:next w:val="1"/>
    <w:uiPriority w:val="99"/>
    <w:pPr>
      <w:numPr>
        <w:ilvl w:val="5"/>
      </w:numPr>
      <w:tabs>
        <w:tab w:val="left" w:pos="426"/>
        <w:tab w:val="clear" w:pos="0"/>
      </w:tabs>
      <w:ind w:left="424" w:leftChars="202" w:firstLine="424"/>
      <w:outlineLvl w:val="5"/>
    </w:pPr>
  </w:style>
  <w:style w:type="paragraph" w:customStyle="1" w:styleId="16">
    <w:name w:val="标准文件_五级条标题"/>
    <w:basedOn w:val="15"/>
    <w:next w:val="1"/>
    <w:uiPriority w:val="99"/>
    <w:pPr>
      <w:numPr>
        <w:ilvl w:val="6"/>
      </w:numPr>
      <w:outlineLvl w:val="6"/>
    </w:pPr>
  </w:style>
  <w:style w:type="character" w:customStyle="1" w:styleId="17">
    <w:name w:val="标题 2 Char"/>
    <w:basedOn w:val="6"/>
    <w:link w:val="2"/>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531</Words>
  <Characters>3030</Characters>
  <Lines>25</Lines>
  <Paragraphs>7</Paragraphs>
  <TotalTime>307</TotalTime>
  <ScaleCrop>false</ScaleCrop>
  <LinksUpToDate>false</LinksUpToDate>
  <CharactersWithSpaces>3554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2020-11-10T01:27:00Z</dcterms:created>
  <dc:creator>李波</dc:creator>
  <cp:lastModifiedBy>admin</cp:lastModifiedBy>
  <cp:lastPrinted>2021-03-20T10:32:00Z</cp:lastPrinted>
  <dcterms:modified xsi:type="dcterms:W3CDTF">2021-06-15T11:37:38Z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4FF057FCCD60467EA3D194E10A1237D1</vt:lpwstr>
  </property>
</Properties>
</file>