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25AD" w14:textId="77777777" w:rsidR="007C232A" w:rsidRPr="00255BD8" w:rsidRDefault="007C232A" w:rsidP="00B8373F">
      <w:pPr>
        <w:pStyle w:val="af5"/>
        <w:widowControl/>
        <w:shd w:val="clear" w:color="auto" w:fill="FFFFFF"/>
        <w:spacing w:line="0" w:lineRule="atLeast"/>
        <w:jc w:val="center"/>
        <w:rPr>
          <w:rStyle w:val="afc"/>
          <w:rFonts w:ascii="方正小标宋简体" w:eastAsia="方正小标宋简体" w:hAnsiTheme="minorEastAsia" w:cs="宋体"/>
          <w:b w:val="0"/>
          <w:sz w:val="44"/>
          <w:szCs w:val="44"/>
        </w:rPr>
      </w:pPr>
      <w:bookmarkStart w:id="0" w:name="_Toc29393380"/>
      <w:r w:rsidRPr="00255BD8">
        <w:rPr>
          <w:rStyle w:val="afc"/>
          <w:rFonts w:ascii="方正小标宋简体" w:eastAsia="方正小标宋简体" w:hAnsiTheme="minorEastAsia" w:cs="宋体" w:hint="eastAsia"/>
          <w:b w:val="0"/>
          <w:sz w:val="44"/>
          <w:szCs w:val="44"/>
        </w:rPr>
        <w:t>核电厂运行业绩指标评定标准</w:t>
      </w:r>
      <w:bookmarkEnd w:id="0"/>
    </w:p>
    <w:p w14:paraId="7DCB1A50" w14:textId="77777777" w:rsidR="0024068C" w:rsidRPr="0070193A" w:rsidRDefault="0024068C" w:rsidP="00B8373F">
      <w:pPr>
        <w:spacing w:line="580" w:lineRule="exact"/>
        <w:jc w:val="center"/>
        <w:rPr>
          <w:rFonts w:ascii="黑体" w:eastAsia="黑体" w:hAnsi="黑体"/>
          <w:bCs/>
          <w:sz w:val="32"/>
          <w:szCs w:val="32"/>
        </w:rPr>
      </w:pPr>
    </w:p>
    <w:p w14:paraId="73BD5F4D" w14:textId="77777777" w:rsidR="007C232A" w:rsidRPr="0024068C" w:rsidRDefault="007C232A" w:rsidP="0051203A">
      <w:pPr>
        <w:pStyle w:val="af5"/>
        <w:widowControl/>
        <w:shd w:val="clear" w:color="auto" w:fill="FFFFFF"/>
        <w:spacing w:line="580" w:lineRule="exact"/>
        <w:jc w:val="center"/>
        <w:rPr>
          <w:rFonts w:ascii="黑体" w:eastAsia="黑体" w:hAnsi="黑体" w:cs="宋体"/>
          <w:color w:val="3E3E3E"/>
          <w:kern w:val="0"/>
          <w:sz w:val="32"/>
          <w:szCs w:val="32"/>
        </w:rPr>
      </w:pPr>
      <w:r w:rsidRPr="0024068C">
        <w:rPr>
          <w:rFonts w:ascii="黑体" w:eastAsia="黑体" w:hAnsi="黑体" w:cs="宋体" w:hint="eastAsia"/>
          <w:color w:val="3E3E3E"/>
          <w:kern w:val="0"/>
          <w:sz w:val="32"/>
          <w:szCs w:val="32"/>
        </w:rPr>
        <w:t>第一章</w:t>
      </w:r>
      <w:r w:rsidR="00EF6CBD">
        <w:rPr>
          <w:rFonts w:ascii="黑体" w:eastAsia="黑体" w:hAnsi="黑体" w:cs="宋体"/>
          <w:color w:val="3E3E3E"/>
          <w:kern w:val="0"/>
          <w:sz w:val="32"/>
          <w:szCs w:val="32"/>
        </w:rPr>
        <w:t xml:space="preserve"> </w:t>
      </w:r>
      <w:r w:rsidRPr="0024068C">
        <w:rPr>
          <w:rFonts w:ascii="黑体" w:eastAsia="黑体" w:hAnsi="黑体" w:cs="宋体" w:hint="eastAsia"/>
          <w:color w:val="3E3E3E"/>
          <w:kern w:val="0"/>
          <w:sz w:val="32"/>
          <w:szCs w:val="32"/>
        </w:rPr>
        <w:t>总</w:t>
      </w:r>
      <w:r w:rsidRPr="0024068C">
        <w:rPr>
          <w:rFonts w:ascii="黑体" w:eastAsia="黑体" w:hAnsi="黑体" w:cs="宋体"/>
          <w:color w:val="3E3E3E"/>
          <w:kern w:val="0"/>
          <w:sz w:val="32"/>
          <w:szCs w:val="32"/>
        </w:rPr>
        <w:t xml:space="preserve">  </w:t>
      </w:r>
      <w:r w:rsidRPr="0024068C">
        <w:rPr>
          <w:rFonts w:ascii="黑体" w:eastAsia="黑体" w:hAnsi="黑体" w:cs="宋体" w:hint="eastAsia"/>
          <w:color w:val="3E3E3E"/>
          <w:kern w:val="0"/>
          <w:sz w:val="32"/>
          <w:szCs w:val="32"/>
        </w:rPr>
        <w:t>则</w:t>
      </w:r>
    </w:p>
    <w:p w14:paraId="42FE1112" w14:textId="77777777" w:rsidR="007C232A" w:rsidRPr="00F141A9" w:rsidRDefault="007C232A" w:rsidP="00F141A9">
      <w:pPr>
        <w:adjustRightInd w:val="0"/>
        <w:snapToGrid w:val="0"/>
        <w:spacing w:line="580" w:lineRule="exact"/>
        <w:ind w:firstLineChars="200" w:firstLine="640"/>
        <w:rPr>
          <w:rFonts w:ascii="仿宋_GB2312" w:eastAsia="仿宋_GB2312" w:hAnsi="宋体" w:cs="宋体"/>
          <w:color w:val="000000"/>
          <w:kern w:val="0"/>
          <w:sz w:val="32"/>
          <w:szCs w:val="32"/>
        </w:rPr>
      </w:pPr>
      <w:r w:rsidRPr="00FB6FBC">
        <w:rPr>
          <w:rFonts w:ascii="黑体" w:eastAsia="黑体" w:hAnsi="黑体" w:hint="eastAsia"/>
          <w:sz w:val="32"/>
          <w:szCs w:val="32"/>
        </w:rPr>
        <w:t>第一条</w:t>
      </w:r>
      <w:r w:rsidR="0051203A" w:rsidRPr="00D951E4">
        <w:rPr>
          <w:rFonts w:ascii="仿宋_GB2312" w:eastAsia="仿宋_GB2312" w:hint="eastAsia"/>
          <w:sz w:val="32"/>
          <w:szCs w:val="32"/>
        </w:rPr>
        <w:t xml:space="preserve"> </w:t>
      </w:r>
      <w:r w:rsidRPr="00EF6CBD">
        <w:rPr>
          <w:rFonts w:ascii="仿宋_GB2312" w:eastAsia="仿宋_GB2312" w:hAnsi="宋体" w:cs="宋体" w:hint="eastAsia"/>
          <w:color w:val="000000"/>
          <w:kern w:val="0"/>
          <w:sz w:val="32"/>
          <w:szCs w:val="32"/>
        </w:rPr>
        <w:t>依据《</w:t>
      </w:r>
      <w:r w:rsidR="00F141A9" w:rsidRPr="00F141A9">
        <w:rPr>
          <w:rFonts w:ascii="仿宋_GB2312" w:eastAsia="仿宋_GB2312" w:hAnsi="宋体" w:cs="宋体" w:hint="eastAsia"/>
          <w:color w:val="000000"/>
          <w:kern w:val="0"/>
          <w:sz w:val="32"/>
          <w:szCs w:val="32"/>
        </w:rPr>
        <w:t>中国核能行业协会推荐核能工程参评国家级优质工程奖工作管理办法</w:t>
      </w:r>
      <w:r w:rsidRPr="00EF6CBD">
        <w:rPr>
          <w:rFonts w:ascii="仿宋_GB2312" w:eastAsia="仿宋_GB2312" w:hAnsi="宋体" w:cs="宋体" w:hint="eastAsia"/>
          <w:color w:val="000000"/>
          <w:kern w:val="0"/>
          <w:sz w:val="32"/>
          <w:szCs w:val="32"/>
        </w:rPr>
        <w:t>》及《</w:t>
      </w:r>
      <w:r w:rsidR="00F141A9" w:rsidRPr="00F141A9">
        <w:rPr>
          <w:rFonts w:ascii="仿宋_GB2312" w:eastAsia="仿宋_GB2312" w:hAnsi="宋体" w:cs="宋体" w:hint="eastAsia"/>
          <w:color w:val="000000"/>
          <w:kern w:val="0"/>
          <w:sz w:val="32"/>
          <w:szCs w:val="32"/>
        </w:rPr>
        <w:t>中国核能行业协会推荐核能工程参评国家级优质工程奖工作</w:t>
      </w:r>
      <w:r w:rsidRPr="00EF6CBD">
        <w:rPr>
          <w:rFonts w:ascii="仿宋_GB2312" w:eastAsia="仿宋_GB2312" w:hAnsi="宋体" w:cs="宋体" w:hint="eastAsia"/>
          <w:color w:val="000000"/>
          <w:kern w:val="0"/>
          <w:sz w:val="32"/>
          <w:szCs w:val="32"/>
        </w:rPr>
        <w:t>实施细则》，为规范核电厂运行业绩评定，统一业绩指标定义和统计，确保</w:t>
      </w:r>
      <w:r w:rsidR="00D23C28">
        <w:rPr>
          <w:rFonts w:ascii="仿宋_GB2312" w:eastAsia="仿宋_GB2312" w:hAnsi="宋体" w:cs="宋体" w:hint="eastAsia"/>
          <w:color w:val="000000"/>
          <w:kern w:val="0"/>
          <w:sz w:val="32"/>
          <w:szCs w:val="32"/>
        </w:rPr>
        <w:t>推优工作</w:t>
      </w:r>
      <w:r w:rsidRPr="00EF6CBD">
        <w:rPr>
          <w:rFonts w:ascii="仿宋_GB2312" w:eastAsia="仿宋_GB2312" w:hAnsi="宋体" w:cs="宋体" w:hint="eastAsia"/>
          <w:color w:val="000000"/>
          <w:kern w:val="0"/>
          <w:sz w:val="32"/>
          <w:szCs w:val="32"/>
        </w:rPr>
        <w:t>公平公正，特制定本标准。</w:t>
      </w:r>
    </w:p>
    <w:p w14:paraId="27E1C25F" w14:textId="77777777" w:rsidR="007C232A" w:rsidRPr="00EF6CBD" w:rsidRDefault="007C232A" w:rsidP="00FB6FBC">
      <w:pPr>
        <w:adjustRightInd w:val="0"/>
        <w:snapToGrid w:val="0"/>
        <w:spacing w:line="580" w:lineRule="exact"/>
        <w:ind w:firstLineChars="200" w:firstLine="640"/>
        <w:rPr>
          <w:rFonts w:ascii="仿宋_GB2312" w:eastAsia="仿宋_GB2312"/>
          <w:b/>
          <w:sz w:val="32"/>
          <w:szCs w:val="32"/>
        </w:rPr>
      </w:pPr>
      <w:r w:rsidRPr="00FB6FBC">
        <w:rPr>
          <w:rFonts w:ascii="黑体" w:eastAsia="黑体" w:hAnsi="黑体" w:hint="eastAsia"/>
          <w:sz w:val="32"/>
          <w:szCs w:val="32"/>
        </w:rPr>
        <w:t>第二条</w:t>
      </w:r>
      <w:r w:rsidR="00FB6FBC" w:rsidRPr="00D951E4">
        <w:rPr>
          <w:rFonts w:ascii="仿宋_GB2312" w:eastAsia="仿宋_GB2312" w:hint="eastAsia"/>
          <w:sz w:val="32"/>
          <w:szCs w:val="32"/>
        </w:rPr>
        <w:t xml:space="preserve"> </w:t>
      </w:r>
      <w:r w:rsidRPr="00EF6CBD">
        <w:rPr>
          <w:rFonts w:ascii="仿宋_GB2312" w:eastAsia="仿宋_GB2312" w:hAnsi="宋体" w:cs="宋体" w:hint="eastAsia"/>
          <w:color w:val="000000"/>
          <w:kern w:val="0"/>
          <w:sz w:val="32"/>
          <w:szCs w:val="32"/>
        </w:rPr>
        <w:t>核电厂运行业绩指标统计时间</w:t>
      </w:r>
      <w:proofErr w:type="gramStart"/>
      <w:r w:rsidRPr="00EF6CBD">
        <w:rPr>
          <w:rFonts w:ascii="仿宋_GB2312" w:eastAsia="仿宋_GB2312" w:hAnsi="宋体" w:cs="宋体" w:hint="eastAsia"/>
          <w:color w:val="000000"/>
          <w:kern w:val="0"/>
          <w:sz w:val="32"/>
          <w:szCs w:val="32"/>
        </w:rPr>
        <w:t>从具备</w:t>
      </w:r>
      <w:proofErr w:type="gramEnd"/>
      <w:r w:rsidRPr="00EF6CBD">
        <w:rPr>
          <w:rFonts w:ascii="仿宋_GB2312" w:eastAsia="仿宋_GB2312" w:hAnsi="宋体" w:cs="宋体" w:hint="eastAsia"/>
          <w:color w:val="000000"/>
          <w:kern w:val="0"/>
          <w:sz w:val="32"/>
          <w:szCs w:val="32"/>
        </w:rPr>
        <w:t>商运条件</w:t>
      </w:r>
      <w:proofErr w:type="gramStart"/>
      <w:r w:rsidRPr="00EF6CBD">
        <w:rPr>
          <w:rFonts w:ascii="仿宋_GB2312" w:eastAsia="仿宋_GB2312" w:hAnsi="宋体" w:cs="宋体" w:hint="eastAsia"/>
          <w:color w:val="000000"/>
          <w:kern w:val="0"/>
          <w:sz w:val="32"/>
          <w:szCs w:val="32"/>
        </w:rPr>
        <w:t>至首次</w:t>
      </w:r>
      <w:proofErr w:type="gramEnd"/>
      <w:r w:rsidRPr="00EF6CBD">
        <w:rPr>
          <w:rFonts w:ascii="仿宋_GB2312" w:eastAsia="仿宋_GB2312" w:hAnsi="宋体" w:cs="宋体" w:hint="eastAsia"/>
          <w:color w:val="000000"/>
          <w:kern w:val="0"/>
          <w:sz w:val="32"/>
          <w:szCs w:val="32"/>
        </w:rPr>
        <w:t>大修机组与电网解列为止。</w:t>
      </w:r>
    </w:p>
    <w:p w14:paraId="1AEA8065" w14:textId="77777777" w:rsidR="007C232A" w:rsidRPr="00EF6CBD" w:rsidRDefault="007C232A" w:rsidP="00FB6FBC">
      <w:pPr>
        <w:adjustRightInd w:val="0"/>
        <w:snapToGrid w:val="0"/>
        <w:spacing w:line="580" w:lineRule="exact"/>
        <w:ind w:firstLineChars="200" w:firstLine="640"/>
        <w:rPr>
          <w:rFonts w:ascii="仿宋_GB2312" w:eastAsia="仿宋_GB2312" w:cs="宋体"/>
          <w:color w:val="000000"/>
          <w:kern w:val="0"/>
          <w:sz w:val="32"/>
          <w:szCs w:val="32"/>
        </w:rPr>
      </w:pPr>
      <w:r w:rsidRPr="00FB6FBC">
        <w:rPr>
          <w:rFonts w:ascii="黑体" w:eastAsia="黑体" w:hAnsi="黑体" w:hint="eastAsia"/>
          <w:sz w:val="32"/>
          <w:szCs w:val="32"/>
        </w:rPr>
        <w:t>第三条</w:t>
      </w:r>
      <w:r w:rsidRPr="00D951E4">
        <w:rPr>
          <w:rFonts w:ascii="仿宋_GB2312" w:eastAsia="仿宋_GB2312" w:hint="eastAsia"/>
          <w:sz w:val="32"/>
          <w:szCs w:val="32"/>
        </w:rPr>
        <w:t xml:space="preserve"> </w:t>
      </w:r>
      <w:r w:rsidRPr="00EF6CBD">
        <w:rPr>
          <w:rFonts w:ascii="仿宋_GB2312" w:eastAsia="仿宋_GB2312" w:hAnsi="宋体" w:cs="宋体" w:hint="eastAsia"/>
          <w:color w:val="000000"/>
          <w:kern w:val="0"/>
          <w:sz w:val="32"/>
          <w:szCs w:val="32"/>
        </w:rPr>
        <w:t>核电厂运行业绩指标统计数据由各</w:t>
      </w:r>
      <w:r w:rsidR="00D23C28">
        <w:rPr>
          <w:rFonts w:ascii="仿宋_GB2312" w:eastAsia="仿宋_GB2312" w:hAnsi="宋体" w:cs="宋体" w:hint="eastAsia"/>
          <w:color w:val="000000"/>
          <w:kern w:val="0"/>
          <w:sz w:val="32"/>
          <w:szCs w:val="32"/>
        </w:rPr>
        <w:t>创</w:t>
      </w:r>
      <w:r w:rsidRPr="00EF6CBD">
        <w:rPr>
          <w:rFonts w:ascii="仿宋_GB2312" w:eastAsia="仿宋_GB2312" w:hAnsi="宋体" w:cs="宋体" w:hint="eastAsia"/>
          <w:color w:val="000000"/>
          <w:kern w:val="0"/>
          <w:sz w:val="32"/>
          <w:szCs w:val="32"/>
        </w:rPr>
        <w:t>优申报单位按照本标准在</w:t>
      </w:r>
      <w:r w:rsidR="00D23C28">
        <w:rPr>
          <w:rFonts w:ascii="仿宋_GB2312" w:eastAsia="仿宋_GB2312" w:hAnsi="宋体" w:cs="宋体" w:hint="eastAsia"/>
          <w:color w:val="000000"/>
          <w:kern w:val="0"/>
          <w:sz w:val="32"/>
          <w:szCs w:val="32"/>
        </w:rPr>
        <w:t>参加国家级优质工程奖推荐</w:t>
      </w:r>
      <w:r w:rsidRPr="00EF6CBD">
        <w:rPr>
          <w:rFonts w:ascii="仿宋_GB2312" w:eastAsia="仿宋_GB2312" w:hAnsi="宋体" w:cs="宋体" w:hint="eastAsia"/>
          <w:color w:val="000000"/>
          <w:kern w:val="0"/>
          <w:sz w:val="32"/>
          <w:szCs w:val="32"/>
        </w:rPr>
        <w:t>申请时向中国核能行业协会报送。数据应真实准确，与公开发布的（如中国核能行业协会、WANO）数据保持一致。</w:t>
      </w:r>
    </w:p>
    <w:p w14:paraId="314C59EA" w14:textId="77777777" w:rsidR="007C232A" w:rsidRPr="00EF6CBD" w:rsidRDefault="007C232A" w:rsidP="00FB6FBC">
      <w:pPr>
        <w:adjustRightInd w:val="0"/>
        <w:snapToGrid w:val="0"/>
        <w:spacing w:line="580" w:lineRule="exact"/>
        <w:ind w:firstLineChars="200" w:firstLine="640"/>
        <w:rPr>
          <w:rFonts w:ascii="仿宋_GB2312" w:eastAsia="仿宋_GB2312" w:cs="宋体"/>
          <w:color w:val="000000"/>
          <w:kern w:val="0"/>
          <w:sz w:val="32"/>
          <w:szCs w:val="32"/>
        </w:rPr>
      </w:pPr>
      <w:r w:rsidRPr="00FB6FBC">
        <w:rPr>
          <w:rFonts w:ascii="黑体" w:eastAsia="黑体" w:hAnsi="黑体" w:hint="eastAsia"/>
          <w:sz w:val="32"/>
          <w:szCs w:val="32"/>
        </w:rPr>
        <w:t>第四条</w:t>
      </w:r>
      <w:r w:rsidRPr="00D951E4">
        <w:rPr>
          <w:rFonts w:ascii="仿宋_GB2312" w:eastAsia="仿宋_GB2312" w:hint="eastAsia"/>
          <w:sz w:val="32"/>
          <w:szCs w:val="32"/>
        </w:rPr>
        <w:t xml:space="preserve"> </w:t>
      </w:r>
      <w:r w:rsidRPr="00EF6CBD">
        <w:rPr>
          <w:rFonts w:ascii="仿宋_GB2312" w:eastAsia="仿宋_GB2312" w:hAnsi="宋体" w:cs="宋体" w:hint="eastAsia"/>
          <w:color w:val="000000"/>
          <w:kern w:val="0"/>
          <w:sz w:val="32"/>
          <w:szCs w:val="32"/>
        </w:rPr>
        <w:t>核电厂运行业绩指标以WANO指标为主体，WANO指标是世界核电界普遍采用的，可评价、衡量核电机组运行业绩的指标体系。WANO指标用量化的方式反映核电厂在核安全、设备可靠性、运行的有效性等方面的性能状况。</w:t>
      </w:r>
    </w:p>
    <w:p w14:paraId="59223AD3" w14:textId="77777777" w:rsidR="007C232A" w:rsidRPr="00C80F96" w:rsidRDefault="007C232A" w:rsidP="001C4E12">
      <w:pPr>
        <w:pStyle w:val="af5"/>
        <w:widowControl/>
        <w:shd w:val="clear" w:color="auto" w:fill="FFFFFF"/>
        <w:spacing w:line="580" w:lineRule="exact"/>
        <w:jc w:val="center"/>
        <w:rPr>
          <w:rFonts w:ascii="黑体" w:eastAsia="黑体" w:hAnsi="黑体" w:cs="宋体"/>
          <w:color w:val="3E3E3E"/>
          <w:kern w:val="0"/>
          <w:sz w:val="32"/>
          <w:szCs w:val="32"/>
        </w:rPr>
      </w:pPr>
      <w:r w:rsidRPr="00C80F96">
        <w:rPr>
          <w:rFonts w:ascii="黑体" w:eastAsia="黑体" w:hAnsi="黑体" w:cs="宋体" w:hint="eastAsia"/>
          <w:color w:val="3E3E3E"/>
          <w:kern w:val="0"/>
          <w:sz w:val="32"/>
          <w:szCs w:val="32"/>
        </w:rPr>
        <w:t>第二章</w:t>
      </w:r>
      <w:r w:rsidR="001C4E12">
        <w:rPr>
          <w:rFonts w:ascii="黑体" w:eastAsia="黑体" w:hAnsi="黑体" w:cs="宋体"/>
          <w:color w:val="3E3E3E"/>
          <w:kern w:val="0"/>
          <w:sz w:val="32"/>
          <w:szCs w:val="32"/>
        </w:rPr>
        <w:t xml:space="preserve"> </w:t>
      </w:r>
      <w:r w:rsidRPr="00C80F96">
        <w:rPr>
          <w:rFonts w:ascii="黑体" w:eastAsia="黑体" w:hAnsi="黑体" w:cs="宋体" w:hint="eastAsia"/>
          <w:color w:val="3E3E3E"/>
          <w:kern w:val="0"/>
          <w:sz w:val="32"/>
          <w:szCs w:val="32"/>
        </w:rPr>
        <w:t>核电厂运行业绩指标定义及计算公式</w:t>
      </w:r>
    </w:p>
    <w:p w14:paraId="1137A22C" w14:textId="77777777" w:rsidR="007C232A" w:rsidRPr="00C80F96" w:rsidRDefault="007C232A" w:rsidP="00664F9A">
      <w:pPr>
        <w:adjustRightInd w:val="0"/>
        <w:snapToGrid w:val="0"/>
        <w:spacing w:line="580" w:lineRule="exact"/>
        <w:ind w:firstLineChars="200" w:firstLine="640"/>
        <w:rPr>
          <w:rFonts w:ascii="仿宋_GB2312" w:eastAsia="仿宋_GB2312" w:cs="宋体"/>
          <w:color w:val="000000"/>
          <w:kern w:val="0"/>
          <w:sz w:val="32"/>
          <w:szCs w:val="32"/>
        </w:rPr>
      </w:pPr>
      <w:r w:rsidRPr="001C4E12">
        <w:rPr>
          <w:rFonts w:ascii="黑体" w:eastAsia="黑体" w:hAnsi="黑体" w:hint="eastAsia"/>
          <w:sz w:val="32"/>
          <w:szCs w:val="32"/>
        </w:rPr>
        <w:t>第五条</w:t>
      </w:r>
      <w:r w:rsidR="001C4E12" w:rsidRPr="00D951E4">
        <w:rPr>
          <w:rFonts w:ascii="仿宋_GB2312" w:eastAsia="仿宋_GB2312" w:hint="eastAsia"/>
          <w:sz w:val="32"/>
          <w:szCs w:val="32"/>
        </w:rPr>
        <w:t xml:space="preserve"> </w:t>
      </w:r>
      <w:r w:rsidRPr="00C80F96">
        <w:rPr>
          <w:rFonts w:ascii="仿宋_GB2312" w:eastAsia="仿宋_GB2312" w:hAnsi="宋体" w:cs="宋体" w:hint="eastAsia"/>
          <w:color w:val="000000"/>
          <w:kern w:val="0"/>
          <w:sz w:val="32"/>
          <w:szCs w:val="32"/>
        </w:rPr>
        <w:t>参照WANO标准，选取9项指标作为</w:t>
      </w:r>
      <w:r w:rsidR="00D23C28">
        <w:rPr>
          <w:rFonts w:ascii="仿宋_GB2312" w:eastAsia="仿宋_GB2312" w:hAnsi="宋体" w:cs="宋体" w:hint="eastAsia"/>
          <w:color w:val="000000"/>
          <w:kern w:val="0"/>
          <w:sz w:val="32"/>
          <w:szCs w:val="32"/>
        </w:rPr>
        <w:t>推优</w:t>
      </w:r>
      <w:r w:rsidRPr="00C80F96">
        <w:rPr>
          <w:rFonts w:ascii="仿宋_GB2312" w:eastAsia="仿宋_GB2312" w:hAnsi="宋体" w:cs="宋体" w:hint="eastAsia"/>
          <w:color w:val="000000"/>
          <w:kern w:val="0"/>
          <w:sz w:val="32"/>
          <w:szCs w:val="32"/>
        </w:rPr>
        <w:t>工程核电厂运行业绩指标，即：</w:t>
      </w:r>
    </w:p>
    <w:p w14:paraId="1E552C95"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机组能力因子（UCF）</w:t>
      </w:r>
    </w:p>
    <w:p w14:paraId="449C0541"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强迫能力损失率（FLR）</w:t>
      </w:r>
    </w:p>
    <w:p w14:paraId="30826023"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lastRenderedPageBreak/>
        <w:t>7000临界小时非计划自动紧急停堆次数（UA7）</w:t>
      </w:r>
    </w:p>
    <w:p w14:paraId="14AEEA2C"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高压安注系统（SP1）</w:t>
      </w:r>
    </w:p>
    <w:p w14:paraId="155A4A17"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辅助给水系统（SP2）</w:t>
      </w:r>
    </w:p>
    <w:p w14:paraId="43D91F5C"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应急交流电源系统（SP5）</w:t>
      </w:r>
    </w:p>
    <w:p w14:paraId="7B94DF70"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化学指标（CPI）</w:t>
      </w:r>
    </w:p>
    <w:p w14:paraId="194CD5C8"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燃料可靠性（FRI）</w:t>
      </w:r>
    </w:p>
    <w:p w14:paraId="33B22A81" w14:textId="77777777" w:rsidR="007C232A" w:rsidRPr="00C80F96" w:rsidRDefault="007C232A" w:rsidP="00C80F96">
      <w:pPr>
        <w:adjustRightInd w:val="0"/>
        <w:snapToGrid w:val="0"/>
        <w:spacing w:line="580" w:lineRule="exact"/>
        <w:ind w:leftChars="500" w:left="1050"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集体剂量（CRE）</w:t>
      </w:r>
    </w:p>
    <w:p w14:paraId="55157054" w14:textId="77777777" w:rsidR="007C232A" w:rsidRPr="00C80F96" w:rsidRDefault="007C232A" w:rsidP="00CA6500">
      <w:pPr>
        <w:spacing w:line="580" w:lineRule="exact"/>
        <w:ind w:firstLineChars="200" w:firstLine="640"/>
        <w:rPr>
          <w:rFonts w:ascii="仿宋_GB2312" w:eastAsia="仿宋_GB2312" w:cs="宋体"/>
          <w:color w:val="000000"/>
          <w:kern w:val="0"/>
          <w:sz w:val="32"/>
          <w:szCs w:val="32"/>
        </w:rPr>
      </w:pPr>
      <w:r w:rsidRPr="00664F9A">
        <w:rPr>
          <w:rFonts w:ascii="黑体" w:eastAsia="黑体" w:hAnsi="黑体" w:hint="eastAsia"/>
          <w:sz w:val="32"/>
          <w:szCs w:val="32"/>
        </w:rPr>
        <w:t>第六条</w:t>
      </w:r>
      <w:r w:rsidR="00664F9A" w:rsidRPr="00D951E4">
        <w:rPr>
          <w:rFonts w:ascii="仿宋_GB2312" w:eastAsia="仿宋_GB2312" w:hint="eastAsia"/>
          <w:sz w:val="32"/>
          <w:szCs w:val="32"/>
        </w:rPr>
        <w:t xml:space="preserve"> </w:t>
      </w:r>
      <w:r w:rsidRPr="00C80F96">
        <w:rPr>
          <w:rFonts w:ascii="仿宋_GB2312" w:eastAsia="仿宋_GB2312" w:hAnsi="宋体" w:cs="宋体" w:hint="eastAsia"/>
          <w:color w:val="000000"/>
          <w:kern w:val="0"/>
          <w:sz w:val="32"/>
          <w:szCs w:val="32"/>
        </w:rPr>
        <w:t>机组能力因子（%）：在定义为给定时间内可用发电量与同一时间内额定发电量的比率，用百分比表示。这两项发电量均为参考环境条件下的发电量。可用发电量：在参考环境条件下，以及在考虑电厂管理控制（即对电厂设备、人员及工作的管理控制）的范围</w:t>
      </w:r>
      <w:proofErr w:type="gramStart"/>
      <w:r w:rsidRPr="00C80F96">
        <w:rPr>
          <w:rFonts w:ascii="仿宋_GB2312" w:eastAsia="仿宋_GB2312" w:hAnsi="宋体" w:cs="宋体" w:hint="eastAsia"/>
          <w:color w:val="000000"/>
          <w:kern w:val="0"/>
          <w:sz w:val="32"/>
          <w:szCs w:val="32"/>
        </w:rPr>
        <w:t>内因素</w:t>
      </w:r>
      <w:proofErr w:type="gramEnd"/>
      <w:r w:rsidRPr="00C80F96">
        <w:rPr>
          <w:rFonts w:ascii="仿宋_GB2312" w:eastAsia="仿宋_GB2312" w:hAnsi="宋体" w:cs="宋体" w:hint="eastAsia"/>
          <w:color w:val="000000"/>
          <w:kern w:val="0"/>
          <w:sz w:val="32"/>
          <w:szCs w:val="32"/>
        </w:rPr>
        <w:t>后所能够产生的发电量。参考发电量：在参考环境条件下机组满功率连续运行所能够产生的发电量。参考环境条件：以该机组环境条件的年平均值（或典型）为代表。</w:t>
      </w:r>
    </w:p>
    <w:p w14:paraId="32831BB6" w14:textId="77777777" w:rsidR="007C232A" w:rsidRDefault="007C232A" w:rsidP="005D7C75">
      <w:pPr>
        <w:spacing w:line="580" w:lineRule="exact"/>
        <w:ind w:firstLineChars="200" w:firstLine="640"/>
        <w:rPr>
          <w:rFonts w:ascii="仿宋_GB2312" w:eastAsia="仿宋_GB2312" w:hAnsi="宋体" w:cs="宋体"/>
          <w:color w:val="000000"/>
          <w:kern w:val="0"/>
          <w:sz w:val="32"/>
          <w:szCs w:val="32"/>
        </w:rPr>
      </w:pPr>
      <w:r w:rsidRPr="00C80F96">
        <w:rPr>
          <w:rFonts w:ascii="仿宋_GB2312" w:eastAsia="仿宋_GB2312" w:hAnsi="宋体" w:cs="宋体" w:hint="eastAsia"/>
          <w:color w:val="000000"/>
          <w:kern w:val="0"/>
          <w:sz w:val="32"/>
          <w:szCs w:val="32"/>
        </w:rPr>
        <w:t>某一时间段的机组能力因子（UCF）的计算如下：</w:t>
      </w:r>
    </w:p>
    <w:p w14:paraId="6ACADCBF" w14:textId="77777777" w:rsidR="005D7C75" w:rsidRPr="0012463C" w:rsidRDefault="005D7C75" w:rsidP="005D7C75">
      <w:pPr>
        <w:spacing w:line="580" w:lineRule="exact"/>
        <w:ind w:firstLine="420"/>
        <w:rPr>
          <w:rFonts w:ascii="仿宋_GB2312" w:eastAsia="仿宋_GB2312" w:hAnsiTheme="minorEastAsia" w:cs="宋体"/>
          <w:color w:val="000000"/>
          <w:kern w:val="0"/>
          <w:sz w:val="30"/>
          <w:szCs w:val="30"/>
        </w:rPr>
      </w:pPr>
      <m:oMathPara>
        <m:oMath>
          <m:r>
            <m:rPr>
              <m:sty m:val="p"/>
            </m:rPr>
            <w:rPr>
              <w:rFonts w:ascii="Cambria Math" w:eastAsia="仿宋_GB2312" w:hAnsi="Cambria Math" w:cs="宋体" w:hint="eastAsia"/>
              <w:color w:val="000000"/>
              <w:kern w:val="0"/>
              <w:sz w:val="30"/>
              <w:szCs w:val="30"/>
            </w:rPr>
            <m:t>机组能力因子</m:t>
          </m:r>
          <m:d>
            <m:dPr>
              <m:begChr m:val="（"/>
              <m:endChr m:val="）"/>
              <m:ctrlPr>
                <w:rPr>
                  <w:rFonts w:ascii="Cambria Math" w:eastAsia="仿宋_GB2312" w:hAnsi="Cambria Math" w:cs="宋体" w:hint="eastAsia"/>
                  <w:color w:val="000000"/>
                  <w:kern w:val="0"/>
                  <w:sz w:val="30"/>
                  <w:szCs w:val="30"/>
                </w:rPr>
              </m:ctrlPr>
            </m:dPr>
            <m:e>
              <m:r>
                <m:rPr>
                  <m:sty m:val="p"/>
                </m:rPr>
                <w:rPr>
                  <w:rFonts w:ascii="Cambria Math" w:eastAsia="仿宋_GB2312" w:hAnsi="Cambria Math" w:cs="宋体" w:hint="eastAsia"/>
                  <w:color w:val="000000"/>
                  <w:kern w:val="0"/>
                  <w:sz w:val="30"/>
                  <w:szCs w:val="30"/>
                </w:rPr>
                <m:t>%</m:t>
              </m:r>
            </m:e>
          </m:d>
          <m:r>
            <m:rPr>
              <m:sty m:val="p"/>
            </m:rPr>
            <w:rPr>
              <w:rFonts w:ascii="Cambria Math" w:eastAsia="仿宋_GB2312" w:hAnsi="Cambria Math" w:cs="宋体" w:hint="eastAsia"/>
              <w:color w:val="000000"/>
              <w:kern w:val="0"/>
              <w:sz w:val="30"/>
              <w:szCs w:val="30"/>
            </w:rPr>
            <m:t>=</m:t>
          </m:r>
          <m:d>
            <m:dPr>
              <m:begChr m:val="（"/>
              <m:endChr m:val="）"/>
              <m:ctrlPr>
                <w:rPr>
                  <w:rFonts w:ascii="Cambria Math" w:eastAsia="仿宋_GB2312" w:hAnsi="Cambria Math" w:cs="宋体" w:hint="eastAsia"/>
                  <w:color w:val="000000"/>
                  <w:kern w:val="0"/>
                  <w:sz w:val="30"/>
                  <w:szCs w:val="30"/>
                </w:rPr>
              </m:ctrlPr>
            </m:dPr>
            <m:e>
              <m:r>
                <m:rPr>
                  <m:sty m:val="p"/>
                </m:rPr>
                <w:rPr>
                  <w:rFonts w:ascii="Cambria Math" w:eastAsia="仿宋_GB2312" w:hAnsi="Cambria Math" w:cs="宋体" w:hint="eastAsia"/>
                  <w:color w:val="000000"/>
                  <w:kern w:val="0"/>
                  <w:sz w:val="30"/>
                  <w:szCs w:val="30"/>
                </w:rPr>
                <m:t>REG</m:t>
              </m:r>
              <m:r>
                <m:rPr>
                  <m:sty m:val="p"/>
                </m:rPr>
                <w:rPr>
                  <w:rFonts w:ascii="MS Mincho" w:eastAsia="MS Mincho" w:hAnsi="MS Mincho" w:cs="MS Mincho" w:hint="eastAsia"/>
                  <w:color w:val="000000"/>
                  <w:kern w:val="0"/>
                  <w:sz w:val="30"/>
                  <w:szCs w:val="30"/>
                </w:rPr>
                <m:t>-</m:t>
              </m:r>
              <m:r>
                <m:rPr>
                  <m:sty m:val="p"/>
                </m:rPr>
                <w:rPr>
                  <w:rFonts w:ascii="Cambria Math" w:eastAsia="仿宋_GB2312" w:hAnsi="Cambria Math" w:cs="宋体" w:hint="eastAsia"/>
                  <w:color w:val="000000"/>
                  <w:kern w:val="0"/>
                  <w:sz w:val="30"/>
                  <w:szCs w:val="30"/>
                </w:rPr>
                <m:t>PEL</m:t>
              </m:r>
              <m:r>
                <m:rPr>
                  <m:sty m:val="p"/>
                </m:rPr>
                <w:rPr>
                  <w:rFonts w:ascii="宋体" w:hAnsi="宋体" w:cs="宋体" w:hint="eastAsia"/>
                  <w:color w:val="000000"/>
                  <w:kern w:val="0"/>
                  <w:sz w:val="30"/>
                  <w:szCs w:val="30"/>
                </w:rPr>
                <m:t>–</m:t>
              </m:r>
              <m:r>
                <m:rPr>
                  <m:sty m:val="p"/>
                </m:rPr>
                <w:rPr>
                  <w:rFonts w:ascii="Cambria Math" w:eastAsia="仿宋_GB2312" w:hAnsi="Cambria Math" w:cs="宋体" w:hint="eastAsia"/>
                  <w:color w:val="000000"/>
                  <w:kern w:val="0"/>
                  <w:sz w:val="30"/>
                  <w:szCs w:val="30"/>
                </w:rPr>
                <m:t>FEL</m:t>
              </m:r>
              <m:r>
                <m:rPr>
                  <m:sty m:val="p"/>
                </m:rPr>
                <w:rPr>
                  <w:rFonts w:ascii="MS Mincho" w:eastAsia="MS Mincho" w:hAnsi="MS Mincho" w:cs="MS Mincho" w:hint="eastAsia"/>
                  <w:color w:val="000000"/>
                  <w:kern w:val="0"/>
                  <w:sz w:val="30"/>
                  <w:szCs w:val="30"/>
                </w:rPr>
                <m:t>-</m:t>
              </m:r>
              <m:r>
                <m:rPr>
                  <m:sty m:val="p"/>
                </m:rPr>
                <w:rPr>
                  <w:rFonts w:ascii="Cambria Math" w:eastAsia="仿宋_GB2312" w:hAnsi="Cambria Math" w:cs="宋体" w:hint="eastAsia"/>
                  <w:color w:val="000000"/>
                  <w:kern w:val="0"/>
                  <w:sz w:val="30"/>
                  <w:szCs w:val="30"/>
                </w:rPr>
                <m:t>OEL</m:t>
              </m:r>
            </m:e>
          </m:d>
          <m:r>
            <m:rPr>
              <m:sty m:val="p"/>
            </m:rPr>
            <w:rPr>
              <w:rFonts w:ascii="Cambria Math" w:eastAsia="仿宋_GB2312" w:hAnsi="Cambria Math" w:cs="宋体" w:hint="eastAsia"/>
              <w:color w:val="000000"/>
              <w:kern w:val="0"/>
              <w:sz w:val="30"/>
              <w:szCs w:val="30"/>
            </w:rPr>
            <m:t>x100%/REG</m:t>
          </m:r>
        </m:oMath>
      </m:oMathPara>
    </w:p>
    <w:p w14:paraId="03837E1B" w14:textId="77777777" w:rsidR="007C232A" w:rsidRPr="00C80F96" w:rsidRDefault="007C232A" w:rsidP="001F4208">
      <w:pPr>
        <w:spacing w:line="580" w:lineRule="exact"/>
        <w:ind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其中：REG =该时间段内的参考发电量</w:t>
      </w:r>
    </w:p>
    <w:p w14:paraId="668988E1" w14:textId="77777777" w:rsidR="007C232A" w:rsidRPr="00C80F96" w:rsidRDefault="007C232A" w:rsidP="00E76E3B">
      <w:pPr>
        <w:spacing w:line="580" w:lineRule="exact"/>
        <w:ind w:firstLineChars="500" w:firstLine="160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PEL =该时间段内的计划性发电量损失总和</w:t>
      </w:r>
    </w:p>
    <w:p w14:paraId="45550CFC" w14:textId="77777777" w:rsidR="007C232A" w:rsidRPr="00C80F96" w:rsidRDefault="007C232A" w:rsidP="00E76E3B">
      <w:pPr>
        <w:spacing w:line="580" w:lineRule="exact"/>
        <w:ind w:firstLineChars="500" w:firstLine="160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FEL = 该时间段内非计划强迫发电量损失总和</w:t>
      </w:r>
    </w:p>
    <w:p w14:paraId="6ADFF2F1" w14:textId="77777777" w:rsidR="007C232A" w:rsidRPr="00C80F96" w:rsidRDefault="007C232A" w:rsidP="00E76E3B">
      <w:pPr>
        <w:spacing w:line="580" w:lineRule="exact"/>
        <w:ind w:firstLineChars="500" w:firstLine="160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OEL =该时间段内计划性停机后非计划延期发电量损失总和</w:t>
      </w:r>
    </w:p>
    <w:p w14:paraId="2C77E7C3" w14:textId="77777777" w:rsidR="007C232A" w:rsidRPr="00C80F96" w:rsidRDefault="007C232A" w:rsidP="0012463C">
      <w:pPr>
        <w:adjustRightInd w:val="0"/>
        <w:snapToGrid w:val="0"/>
        <w:spacing w:line="580" w:lineRule="exact"/>
        <w:ind w:firstLineChars="200" w:firstLine="640"/>
        <w:rPr>
          <w:rFonts w:ascii="仿宋_GB2312" w:eastAsia="仿宋_GB2312" w:cs="宋体"/>
          <w:color w:val="000000"/>
          <w:kern w:val="0"/>
          <w:sz w:val="32"/>
          <w:szCs w:val="32"/>
        </w:rPr>
      </w:pPr>
      <w:r w:rsidRPr="0012463C">
        <w:rPr>
          <w:rFonts w:ascii="黑体" w:eastAsia="黑体" w:hAnsi="黑体" w:hint="eastAsia"/>
          <w:sz w:val="32"/>
          <w:szCs w:val="32"/>
        </w:rPr>
        <w:t>第七条</w:t>
      </w:r>
      <w:r w:rsidR="0012463C" w:rsidRPr="00D951E4">
        <w:rPr>
          <w:rFonts w:ascii="仿宋_GB2312" w:eastAsia="仿宋_GB2312" w:hint="eastAsia"/>
          <w:sz w:val="32"/>
          <w:szCs w:val="32"/>
        </w:rPr>
        <w:t xml:space="preserve"> </w:t>
      </w:r>
      <w:r w:rsidRPr="00C80F96">
        <w:rPr>
          <w:rFonts w:ascii="仿宋_GB2312" w:eastAsia="仿宋_GB2312" w:hAnsi="宋体" w:cs="宋体" w:hint="eastAsia"/>
          <w:color w:val="000000"/>
          <w:kern w:val="0"/>
          <w:sz w:val="32"/>
          <w:szCs w:val="32"/>
        </w:rPr>
        <w:t>强迫能力损失率（%）：一定时期内，非计划强迫能量损失与额定发电量减去计划能量损失及非计划大修</w:t>
      </w:r>
      <w:r w:rsidRPr="00C80F96">
        <w:rPr>
          <w:rFonts w:ascii="仿宋_GB2312" w:eastAsia="仿宋_GB2312" w:hAnsi="宋体" w:cs="宋体" w:hint="eastAsia"/>
          <w:color w:val="000000"/>
          <w:kern w:val="0"/>
          <w:sz w:val="32"/>
          <w:szCs w:val="32"/>
        </w:rPr>
        <w:lastRenderedPageBreak/>
        <w:t>延长能量损失之差的比值。</w:t>
      </w:r>
    </w:p>
    <w:p w14:paraId="0F02E003" w14:textId="77777777" w:rsidR="007C232A" w:rsidRPr="00C80F96" w:rsidRDefault="007C232A" w:rsidP="00C80F96">
      <w:pPr>
        <w:adjustRightInd w:val="0"/>
        <w:snapToGrid w:val="0"/>
        <w:spacing w:line="580" w:lineRule="exact"/>
        <w:ind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强迫损失率=非计划强迫能量损失÷（额定发电量－计划能量损失－非计划大修延长能量损失）×100%</w:t>
      </w:r>
    </w:p>
    <w:p w14:paraId="7C588118" w14:textId="77777777" w:rsidR="007C232A" w:rsidRPr="00C80F96" w:rsidRDefault="007C232A" w:rsidP="002C071F">
      <w:pPr>
        <w:adjustRightInd w:val="0"/>
        <w:snapToGrid w:val="0"/>
        <w:spacing w:line="580" w:lineRule="exact"/>
        <w:ind w:firstLineChars="200" w:firstLine="640"/>
        <w:rPr>
          <w:rFonts w:ascii="仿宋_GB2312" w:eastAsia="仿宋_GB2312" w:cs="宋体"/>
          <w:color w:val="000000"/>
          <w:kern w:val="0"/>
          <w:sz w:val="32"/>
          <w:szCs w:val="32"/>
        </w:rPr>
      </w:pPr>
      <w:r w:rsidRPr="00A268E2">
        <w:rPr>
          <w:rFonts w:ascii="黑体" w:eastAsia="黑体" w:hAnsi="黑体" w:hint="eastAsia"/>
          <w:sz w:val="32"/>
          <w:szCs w:val="32"/>
        </w:rPr>
        <w:t>第八条</w:t>
      </w:r>
      <w:r w:rsidR="00A268E2" w:rsidRPr="00D951E4">
        <w:rPr>
          <w:rFonts w:ascii="仿宋_GB2312" w:eastAsia="仿宋_GB2312" w:hint="eastAsia"/>
          <w:sz w:val="32"/>
          <w:szCs w:val="32"/>
        </w:rPr>
        <w:t xml:space="preserve"> </w:t>
      </w:r>
      <w:r w:rsidRPr="00C80F96">
        <w:rPr>
          <w:rFonts w:ascii="仿宋_GB2312" w:eastAsia="仿宋_GB2312" w:hAnsi="宋体" w:cs="宋体" w:hint="eastAsia"/>
          <w:color w:val="000000"/>
          <w:kern w:val="0"/>
          <w:sz w:val="32"/>
          <w:szCs w:val="32"/>
        </w:rPr>
        <w:t>7000临界小时非计划自动紧急停堆次数（UA7）：每7000小时反应堆临界运行时由于反应堆保护系统逻辑动作而引起的非计划自动紧急停堆次数。反映电站通过减少那些可能导致非计划自动停堆的热工水力瞬态和反应性瞬态事件来改善安全性能方面的成就。临界表示反应堆停堆前处于有效增殖系数基本为1的稳定状态；7000小时代表大多数机组每年的临界运行时数；反应堆非计划自动停堆次数为由于反应堆负反应性的快速引入（如由控制棒系统或液体注入停</w:t>
      </w:r>
      <w:proofErr w:type="gramStart"/>
      <w:r w:rsidRPr="00C80F96">
        <w:rPr>
          <w:rFonts w:ascii="仿宋_GB2312" w:eastAsia="仿宋_GB2312" w:hAnsi="宋体" w:cs="宋体" w:hint="eastAsia"/>
          <w:color w:val="000000"/>
          <w:kern w:val="0"/>
          <w:sz w:val="32"/>
          <w:szCs w:val="32"/>
        </w:rPr>
        <w:t>堆系统</w:t>
      </w:r>
      <w:proofErr w:type="gramEnd"/>
      <w:r w:rsidRPr="00C80F96">
        <w:rPr>
          <w:rFonts w:ascii="仿宋_GB2312" w:eastAsia="仿宋_GB2312" w:hAnsi="宋体" w:cs="宋体" w:hint="eastAsia"/>
          <w:color w:val="000000"/>
          <w:kern w:val="0"/>
          <w:sz w:val="32"/>
          <w:szCs w:val="32"/>
        </w:rPr>
        <w:t>等）所引起的反应堆自动停堆次数。</w:t>
      </w:r>
    </w:p>
    <w:p w14:paraId="6A5D63C9" w14:textId="77777777" w:rsidR="007C232A" w:rsidRPr="00C80F96" w:rsidRDefault="007C232A" w:rsidP="00C80F96">
      <w:pPr>
        <w:adjustRightInd w:val="0"/>
        <w:snapToGrid w:val="0"/>
        <w:spacing w:line="580" w:lineRule="exact"/>
        <w:ind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7000临界小时非计划自动紧急停堆次数=临界运行时非计划自动紧急停堆次数×7000÷临界运行小时数</w:t>
      </w:r>
    </w:p>
    <w:p w14:paraId="1BCA0FC8" w14:textId="77777777" w:rsidR="007C232A" w:rsidRPr="00C80F96" w:rsidRDefault="007C232A" w:rsidP="00A268E2">
      <w:pPr>
        <w:adjustRightInd w:val="0"/>
        <w:snapToGrid w:val="0"/>
        <w:spacing w:line="580" w:lineRule="exact"/>
        <w:ind w:firstLineChars="200" w:firstLine="640"/>
        <w:rPr>
          <w:rFonts w:ascii="仿宋_GB2312" w:eastAsia="仿宋_GB2312" w:cs="宋体"/>
          <w:color w:val="000000"/>
          <w:kern w:val="0"/>
          <w:sz w:val="32"/>
          <w:szCs w:val="32"/>
        </w:rPr>
      </w:pPr>
      <w:r w:rsidRPr="00A268E2">
        <w:rPr>
          <w:rFonts w:ascii="黑体" w:eastAsia="黑体" w:hAnsi="黑体" w:hint="eastAsia"/>
          <w:sz w:val="32"/>
          <w:szCs w:val="32"/>
        </w:rPr>
        <w:t>第九条</w:t>
      </w:r>
      <w:r w:rsidR="00A268E2" w:rsidRPr="00746BA6">
        <w:rPr>
          <w:rFonts w:ascii="仿宋_GB2312" w:eastAsia="仿宋_GB2312" w:hAnsi="宋体" w:cs="宋体" w:hint="eastAsia"/>
          <w:color w:val="000000"/>
          <w:kern w:val="0"/>
          <w:sz w:val="32"/>
          <w:szCs w:val="32"/>
        </w:rPr>
        <w:t xml:space="preserve"> </w:t>
      </w:r>
      <w:r w:rsidRPr="00C80F96">
        <w:rPr>
          <w:rFonts w:ascii="仿宋_GB2312" w:eastAsia="仿宋_GB2312" w:hAnsi="宋体" w:cs="宋体" w:hint="eastAsia"/>
          <w:color w:val="000000"/>
          <w:kern w:val="0"/>
          <w:sz w:val="32"/>
          <w:szCs w:val="32"/>
        </w:rPr>
        <w:t>安全系统性能（SPX）：安全系统性能指标用于评估重要安全系统在异常事件或事故工况下完成其既定安全功能的可用程度。在安全系统系列</w:t>
      </w:r>
      <w:proofErr w:type="gramStart"/>
      <w:r w:rsidRPr="00C80F96">
        <w:rPr>
          <w:rFonts w:ascii="仿宋_GB2312" w:eastAsia="仿宋_GB2312" w:hAnsi="宋体" w:cs="宋体" w:hint="eastAsia"/>
          <w:color w:val="000000"/>
          <w:kern w:val="0"/>
          <w:sz w:val="32"/>
          <w:szCs w:val="32"/>
        </w:rPr>
        <w:t>不</w:t>
      </w:r>
      <w:proofErr w:type="gramEnd"/>
      <w:r w:rsidRPr="00C80F96">
        <w:rPr>
          <w:rFonts w:ascii="仿宋_GB2312" w:eastAsia="仿宋_GB2312" w:hAnsi="宋体" w:cs="宋体" w:hint="eastAsia"/>
          <w:color w:val="000000"/>
          <w:kern w:val="0"/>
          <w:sz w:val="32"/>
          <w:szCs w:val="32"/>
        </w:rPr>
        <w:t>可用管理中，本指标间接检验了运行和维修活动的有效性。指标值较低表示在安全上有较大的裕度，可以防止反应堆堆芯损坏，并且在发生事故时因安全系统故障而延长停堆的机会也较小。</w:t>
      </w:r>
    </w:p>
    <w:p w14:paraId="31CC2581" w14:textId="77777777" w:rsidR="007C232A" w:rsidRPr="00746BA6" w:rsidRDefault="007C232A" w:rsidP="00746BA6">
      <w:pPr>
        <w:adjustRightInd w:val="0"/>
        <w:snapToGrid w:val="0"/>
        <w:spacing w:line="580" w:lineRule="exact"/>
        <w:ind w:firstLineChars="200" w:firstLine="640"/>
        <w:rPr>
          <w:rFonts w:ascii="仿宋_GB2312" w:eastAsia="仿宋_GB2312" w:hAnsi="宋体" w:cs="宋体"/>
          <w:color w:val="000000"/>
          <w:kern w:val="0"/>
          <w:sz w:val="32"/>
          <w:szCs w:val="32"/>
        </w:rPr>
      </w:pPr>
      <w:r w:rsidRPr="00746BA6">
        <w:rPr>
          <w:rFonts w:ascii="仿宋_GB2312" w:eastAsia="仿宋_GB2312" w:hAnsi="宋体" w:cs="宋体" w:hint="eastAsia"/>
          <w:color w:val="000000"/>
          <w:kern w:val="0"/>
          <w:sz w:val="32"/>
          <w:szCs w:val="32"/>
        </w:rPr>
        <w:t>安全系统性能指标监控的系统具体界定为具备下述安全功能的系统：</w:t>
      </w:r>
    </w:p>
    <w:p w14:paraId="7FC78207" w14:textId="77777777" w:rsidR="007C232A" w:rsidRPr="00102B3D" w:rsidRDefault="00102B3D" w:rsidP="00102B3D">
      <w:pPr>
        <w:adjustRightInd w:val="0"/>
        <w:snapToGrid w:val="0"/>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007C232A" w:rsidRPr="00102B3D">
        <w:rPr>
          <w:rFonts w:ascii="仿宋_GB2312" w:eastAsia="仿宋_GB2312" w:hAnsi="宋体" w:cs="宋体" w:hint="eastAsia"/>
          <w:color w:val="000000"/>
          <w:kern w:val="0"/>
          <w:sz w:val="32"/>
          <w:szCs w:val="32"/>
        </w:rPr>
        <w:t>在丧失冷却剂后维持反应堆冷却剂装量的系统；</w:t>
      </w:r>
    </w:p>
    <w:p w14:paraId="23D44147" w14:textId="77777777" w:rsidR="007C232A" w:rsidRPr="00102B3D" w:rsidRDefault="00102B3D" w:rsidP="00102B3D">
      <w:pPr>
        <w:adjustRightInd w:val="0"/>
        <w:snapToGrid w:val="0"/>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7C232A" w:rsidRPr="00102B3D">
        <w:rPr>
          <w:rFonts w:ascii="仿宋_GB2312" w:eastAsia="仿宋_GB2312" w:hAnsi="宋体" w:cs="宋体" w:hint="eastAsia"/>
          <w:color w:val="000000"/>
          <w:kern w:val="0"/>
          <w:sz w:val="32"/>
          <w:szCs w:val="32"/>
        </w:rPr>
        <w:t>在瞬态或事故后用于短期和长期排出余热的系统；</w:t>
      </w:r>
    </w:p>
    <w:p w14:paraId="20D908A7" w14:textId="77777777" w:rsidR="007C232A" w:rsidRPr="00102B3D" w:rsidRDefault="00102B3D" w:rsidP="00102B3D">
      <w:pPr>
        <w:adjustRightInd w:val="0"/>
        <w:snapToGrid w:val="0"/>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（三）</w:t>
      </w:r>
      <w:r w:rsidR="007C232A" w:rsidRPr="00102B3D">
        <w:rPr>
          <w:rFonts w:ascii="仿宋_GB2312" w:eastAsia="仿宋_GB2312" w:hAnsi="宋体" w:cs="宋体" w:hint="eastAsia"/>
          <w:color w:val="000000"/>
          <w:kern w:val="0"/>
          <w:sz w:val="32"/>
          <w:szCs w:val="32"/>
        </w:rPr>
        <w:t>在失去厂外电源后提供应急交流电的系统。</w:t>
      </w:r>
    </w:p>
    <w:p w14:paraId="412DA990" w14:textId="77777777" w:rsidR="007C232A" w:rsidRPr="00C80F96" w:rsidRDefault="007C232A" w:rsidP="002D5B8F">
      <w:pPr>
        <w:pStyle w:val="a3"/>
        <w:spacing w:line="580" w:lineRule="exact"/>
        <w:ind w:firstLine="640"/>
        <w:rPr>
          <w:rFonts w:ascii="仿宋_GB2312" w:eastAsia="仿宋_GB2312"/>
          <w:sz w:val="32"/>
          <w:szCs w:val="32"/>
          <w:lang w:val="en-GB"/>
        </w:rPr>
      </w:pPr>
      <w:r w:rsidRPr="00C80F96">
        <w:rPr>
          <w:rFonts w:ascii="仿宋_GB2312" w:eastAsia="仿宋_GB2312" w:hint="eastAsia"/>
          <w:sz w:val="32"/>
          <w:szCs w:val="32"/>
          <w:lang w:val="en-GB"/>
        </w:rPr>
        <w:t>在一些电厂，上述安全功能可能由不同的系统提供，对于压水堆和重水堆机组，安全系统性能指标监控的系统如下，其他堆型机组参照选取：</w:t>
      </w:r>
    </w:p>
    <w:p w14:paraId="0FCECA50" w14:textId="77777777" w:rsidR="007C232A" w:rsidRPr="00CF08EF" w:rsidRDefault="007C232A" w:rsidP="002D5B8F">
      <w:pPr>
        <w:adjustRightInd w:val="0"/>
        <w:snapToGrid w:val="0"/>
        <w:spacing w:line="580" w:lineRule="exact"/>
        <w:ind w:firstLineChars="200" w:firstLine="640"/>
        <w:rPr>
          <w:rFonts w:ascii="仿宋_GB2312" w:eastAsia="仿宋_GB2312" w:hAnsi="宋体" w:cs="宋体"/>
          <w:color w:val="000000"/>
          <w:kern w:val="0"/>
          <w:sz w:val="32"/>
          <w:szCs w:val="32"/>
        </w:rPr>
      </w:pPr>
      <w:r w:rsidRPr="00CF08EF">
        <w:rPr>
          <w:rFonts w:ascii="仿宋_GB2312" w:eastAsia="仿宋_GB2312" w:hAnsi="宋体" w:cs="宋体" w:hint="eastAsia"/>
          <w:color w:val="000000"/>
          <w:kern w:val="0"/>
          <w:sz w:val="32"/>
          <w:szCs w:val="32"/>
        </w:rPr>
        <w:t>高压安注系统</w:t>
      </w:r>
      <w:r w:rsidRPr="00C80F96">
        <w:rPr>
          <w:rFonts w:ascii="仿宋_GB2312" w:eastAsia="仿宋_GB2312" w:hAnsi="宋体" w:cs="宋体" w:hint="eastAsia"/>
          <w:color w:val="000000"/>
          <w:kern w:val="0"/>
          <w:sz w:val="32"/>
          <w:szCs w:val="32"/>
        </w:rPr>
        <w:t>（SP1）：本指标用于监督重要的安全系统之高压安注系统性能（SP1</w:t>
      </w:r>
      <w:r w:rsidR="00573437">
        <w:rPr>
          <w:rFonts w:ascii="仿宋_GB2312" w:eastAsia="仿宋_GB2312" w:hAnsi="宋体" w:cs="宋体"/>
          <w:color w:val="000000"/>
          <w:kern w:val="0"/>
          <w:sz w:val="32"/>
          <w:szCs w:val="32"/>
        </w:rPr>
        <w:t>–</w:t>
      </w:r>
      <w:r w:rsidRPr="00C80F96">
        <w:rPr>
          <w:rFonts w:ascii="仿宋_GB2312" w:eastAsia="仿宋_GB2312" w:hAnsi="宋体" w:cs="宋体" w:hint="eastAsia"/>
          <w:color w:val="000000"/>
          <w:kern w:val="0"/>
          <w:sz w:val="32"/>
          <w:szCs w:val="32"/>
        </w:rPr>
        <w:t>RIS&amp;RCV</w:t>
      </w:r>
      <w:smartTag w:uri="urn:schemas-microsoft-com:office:smarttags" w:element="chsdate">
        <w:smartTagPr>
          <w:attr w:name="IsROCDate" w:val="False"/>
          <w:attr w:name="IsLunarDate" w:val="False"/>
          <w:attr w:name="Day" w:val="3"/>
          <w:attr w:name="Month" w:val="2"/>
          <w:attr w:name="Year" w:val="2001"/>
        </w:smartTagPr>
        <w:r w:rsidRPr="00C80F96">
          <w:rPr>
            <w:rFonts w:ascii="仿宋_GB2312" w:eastAsia="仿宋_GB2312" w:hAnsi="宋体" w:cs="宋体" w:hint="eastAsia"/>
            <w:color w:val="000000"/>
            <w:kern w:val="0"/>
            <w:sz w:val="32"/>
            <w:szCs w:val="32"/>
          </w:rPr>
          <w:t>001/002/003</w:t>
        </w:r>
      </w:smartTag>
      <w:r w:rsidRPr="00C80F96">
        <w:rPr>
          <w:rFonts w:ascii="仿宋_GB2312" w:eastAsia="仿宋_GB2312" w:hAnsi="宋体" w:cs="宋体" w:hint="eastAsia"/>
          <w:color w:val="000000"/>
          <w:kern w:val="0"/>
          <w:sz w:val="32"/>
          <w:szCs w:val="32"/>
        </w:rPr>
        <w:t>PO）在响应异常事件或故障时能否执行特定功能的准备状态如：监督安全系统的可用性；保证反应堆以及电厂的安全裕度。</w:t>
      </w:r>
    </w:p>
    <w:p w14:paraId="0B34201B" w14:textId="77777777" w:rsidR="007C232A" w:rsidRPr="00CF08EF" w:rsidRDefault="007C232A" w:rsidP="002D5B8F">
      <w:pPr>
        <w:adjustRightInd w:val="0"/>
        <w:snapToGrid w:val="0"/>
        <w:spacing w:line="580" w:lineRule="exact"/>
        <w:ind w:firstLineChars="200" w:firstLine="640"/>
        <w:rPr>
          <w:rFonts w:ascii="仿宋_GB2312" w:eastAsia="仿宋_GB2312" w:hAnsi="宋体" w:cs="宋体"/>
          <w:color w:val="000000"/>
          <w:kern w:val="0"/>
          <w:sz w:val="32"/>
          <w:szCs w:val="32"/>
        </w:rPr>
      </w:pPr>
      <w:r w:rsidRPr="00C80F96">
        <w:rPr>
          <w:rFonts w:ascii="仿宋_GB2312" w:eastAsia="仿宋_GB2312" w:hAnsi="宋体" w:cs="宋体" w:hint="eastAsia"/>
          <w:color w:val="000000"/>
          <w:kern w:val="0"/>
          <w:sz w:val="32"/>
          <w:szCs w:val="32"/>
        </w:rPr>
        <w:t>辅助给水系统（SP2）：本指标用于监督重要的安全系统之辅助给水系统性能（SP2</w:t>
      </w:r>
      <w:r w:rsidR="00BE45DD">
        <w:rPr>
          <w:rFonts w:ascii="仿宋_GB2312" w:eastAsia="仿宋_GB2312" w:hAnsi="宋体" w:cs="宋体"/>
          <w:color w:val="000000"/>
          <w:kern w:val="0"/>
          <w:sz w:val="32"/>
          <w:szCs w:val="32"/>
        </w:rPr>
        <w:t>–</w:t>
      </w:r>
      <w:r w:rsidRPr="00C80F96">
        <w:rPr>
          <w:rFonts w:ascii="仿宋_GB2312" w:eastAsia="仿宋_GB2312" w:hAnsi="宋体" w:cs="宋体" w:hint="eastAsia"/>
          <w:color w:val="000000"/>
          <w:kern w:val="0"/>
          <w:sz w:val="32"/>
          <w:szCs w:val="32"/>
        </w:rPr>
        <w:t>ASG）在响应异常事件或故障时能否执行特定功能的准备状态如：监督安全系统的可用性；保证反应堆以及电厂的安全裕度。</w:t>
      </w:r>
    </w:p>
    <w:p w14:paraId="69C05265" w14:textId="77777777" w:rsidR="007C232A" w:rsidRPr="00CF08EF" w:rsidRDefault="007C232A" w:rsidP="00BE17EA">
      <w:pPr>
        <w:adjustRightInd w:val="0"/>
        <w:snapToGrid w:val="0"/>
        <w:spacing w:line="580" w:lineRule="exact"/>
        <w:ind w:firstLineChars="200" w:firstLine="640"/>
        <w:rPr>
          <w:rFonts w:ascii="仿宋_GB2312" w:eastAsia="仿宋_GB2312" w:hAnsi="宋体" w:cs="宋体"/>
          <w:color w:val="000000"/>
          <w:kern w:val="0"/>
          <w:sz w:val="32"/>
          <w:szCs w:val="32"/>
        </w:rPr>
      </w:pPr>
      <w:r w:rsidRPr="00CF08EF">
        <w:rPr>
          <w:rFonts w:ascii="仿宋_GB2312" w:eastAsia="仿宋_GB2312" w:hAnsi="宋体" w:cs="宋体" w:hint="eastAsia"/>
          <w:color w:val="000000"/>
          <w:kern w:val="0"/>
          <w:sz w:val="32"/>
          <w:szCs w:val="32"/>
        </w:rPr>
        <w:t>应急交流电系统</w:t>
      </w:r>
      <w:r w:rsidRPr="00C80F96">
        <w:rPr>
          <w:rFonts w:ascii="仿宋_GB2312" w:eastAsia="仿宋_GB2312" w:hAnsi="宋体" w:cs="宋体" w:hint="eastAsia"/>
          <w:color w:val="000000"/>
          <w:kern w:val="0"/>
          <w:sz w:val="32"/>
          <w:szCs w:val="32"/>
        </w:rPr>
        <w:t>（SP5）：指标用于监督重要的安全系统之应急交流电源系统性能（SP5</w:t>
      </w:r>
      <w:r w:rsidR="00BE45DD">
        <w:rPr>
          <w:rFonts w:ascii="仿宋_GB2312" w:eastAsia="仿宋_GB2312" w:hAnsi="宋体" w:cs="宋体"/>
          <w:color w:val="000000"/>
          <w:kern w:val="0"/>
          <w:sz w:val="32"/>
          <w:szCs w:val="32"/>
        </w:rPr>
        <w:t>–</w:t>
      </w:r>
      <w:r w:rsidRPr="00C80F96">
        <w:rPr>
          <w:rFonts w:ascii="仿宋_GB2312" w:eastAsia="仿宋_GB2312" w:hAnsi="宋体" w:cs="宋体" w:hint="eastAsia"/>
          <w:color w:val="000000"/>
          <w:kern w:val="0"/>
          <w:sz w:val="32"/>
          <w:szCs w:val="32"/>
        </w:rPr>
        <w:t>Emergency AC Power(LHP/Q)）在响应异常事件或故障时能否执行特定功能的准备状态如：监督安全系统的可用性；保证反应堆以及电厂的安全裕度。</w:t>
      </w:r>
    </w:p>
    <w:p w14:paraId="1225DB70" w14:textId="77777777" w:rsidR="007C232A" w:rsidRPr="002D5B8F" w:rsidRDefault="002D5B8F" w:rsidP="002D5B8F">
      <w:pPr>
        <w:adjustRightInd w:val="0"/>
        <w:snapToGrid w:val="0"/>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7C232A" w:rsidRPr="002D5B8F">
        <w:rPr>
          <w:rFonts w:ascii="仿宋_GB2312" w:eastAsia="仿宋_GB2312" w:hAnsi="宋体" w:cs="宋体" w:hint="eastAsia"/>
          <w:color w:val="000000"/>
          <w:kern w:val="0"/>
          <w:sz w:val="32"/>
          <w:szCs w:val="32"/>
        </w:rPr>
        <w:t>定义：因设备</w:t>
      </w:r>
      <w:proofErr w:type="gramStart"/>
      <w:r w:rsidR="007C232A" w:rsidRPr="002D5B8F">
        <w:rPr>
          <w:rFonts w:ascii="仿宋_GB2312" w:eastAsia="仿宋_GB2312" w:hAnsi="宋体" w:cs="宋体" w:hint="eastAsia"/>
          <w:color w:val="000000"/>
          <w:kern w:val="0"/>
          <w:sz w:val="32"/>
          <w:szCs w:val="32"/>
        </w:rPr>
        <w:t>不</w:t>
      </w:r>
      <w:proofErr w:type="gramEnd"/>
      <w:r w:rsidR="007C232A" w:rsidRPr="002D5B8F">
        <w:rPr>
          <w:rFonts w:ascii="仿宋_GB2312" w:eastAsia="仿宋_GB2312" w:hAnsi="宋体" w:cs="宋体" w:hint="eastAsia"/>
          <w:color w:val="000000"/>
          <w:kern w:val="0"/>
          <w:sz w:val="32"/>
          <w:szCs w:val="32"/>
        </w:rPr>
        <w:t>可用而导致的列平均</w:t>
      </w:r>
      <w:proofErr w:type="gramStart"/>
      <w:r w:rsidR="007C232A" w:rsidRPr="002D5B8F">
        <w:rPr>
          <w:rFonts w:ascii="仿宋_GB2312" w:eastAsia="仿宋_GB2312" w:hAnsi="宋体" w:cs="宋体" w:hint="eastAsia"/>
          <w:color w:val="000000"/>
          <w:kern w:val="0"/>
          <w:sz w:val="32"/>
          <w:szCs w:val="32"/>
        </w:rPr>
        <w:t>不</w:t>
      </w:r>
      <w:proofErr w:type="gramEnd"/>
      <w:r w:rsidR="007C232A" w:rsidRPr="002D5B8F">
        <w:rPr>
          <w:rFonts w:ascii="仿宋_GB2312" w:eastAsia="仿宋_GB2312" w:hAnsi="宋体" w:cs="宋体" w:hint="eastAsia"/>
          <w:color w:val="000000"/>
          <w:kern w:val="0"/>
          <w:sz w:val="32"/>
          <w:szCs w:val="32"/>
        </w:rPr>
        <w:t>可用率。具体定义为某一时期内系统的所有设备（或应急交流电系列）因各种原因所导致的</w:t>
      </w:r>
      <w:proofErr w:type="gramStart"/>
      <w:r w:rsidR="007C232A" w:rsidRPr="002D5B8F">
        <w:rPr>
          <w:rFonts w:ascii="仿宋_GB2312" w:eastAsia="仿宋_GB2312" w:hAnsi="宋体" w:cs="宋体" w:hint="eastAsia"/>
          <w:color w:val="000000"/>
          <w:kern w:val="0"/>
          <w:sz w:val="32"/>
          <w:szCs w:val="32"/>
        </w:rPr>
        <w:t>不</w:t>
      </w:r>
      <w:proofErr w:type="gramEnd"/>
      <w:r w:rsidR="007C232A" w:rsidRPr="002D5B8F">
        <w:rPr>
          <w:rFonts w:ascii="仿宋_GB2312" w:eastAsia="仿宋_GB2312" w:hAnsi="宋体" w:cs="宋体" w:hint="eastAsia"/>
          <w:color w:val="000000"/>
          <w:kern w:val="0"/>
          <w:sz w:val="32"/>
          <w:szCs w:val="32"/>
        </w:rPr>
        <w:t>可用率的总和除以该系统的列数，无单位，精确到小数点后四位。</w:t>
      </w:r>
    </w:p>
    <w:p w14:paraId="51601CFF" w14:textId="77777777" w:rsidR="007C232A" w:rsidRPr="002D5B8F" w:rsidRDefault="005E5C1A" w:rsidP="002D5B8F">
      <w:pPr>
        <w:adjustRightInd w:val="0"/>
        <w:snapToGrid w:val="0"/>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noProof/>
          <w:color w:val="000000"/>
          <w:kern w:val="0"/>
          <w:sz w:val="32"/>
          <w:szCs w:val="32"/>
        </w:rPr>
        <w:object w:dxaOrig="1440" w:dyaOrig="1440" w14:anchorId="12101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95.9pt;margin-top:1.45pt;width:130.5pt;height:33pt;z-index:251659264;mso-position-horizontal-relative:text;mso-position-vertical-relative:text" wrapcoords="6579 1473 4097 1473 4221 9327 248 10800 372 19636 869 19636 21476 19636 21103 17182 21600 11291 17876 9327 18124 1473 16634 1473 6579 1473">
            <v:imagedata r:id="rId8" o:title=""/>
            <w10:wrap type="tight"/>
          </v:shape>
          <o:OLEObject Type="Embed" ProgID="Equation.3" ShapeID="_x0000_s1036" DrawAspect="Content" ObjectID="_1673332556" r:id="rId9"/>
        </w:object>
      </w:r>
      <w:r w:rsidR="002D5B8F">
        <w:rPr>
          <w:rFonts w:ascii="仿宋_GB2312" w:eastAsia="仿宋_GB2312" w:hAnsi="宋体" w:cs="宋体" w:hint="eastAsia"/>
          <w:color w:val="000000"/>
          <w:kern w:val="0"/>
          <w:sz w:val="32"/>
          <w:szCs w:val="32"/>
        </w:rPr>
        <w:t>2.</w:t>
      </w:r>
      <w:r w:rsidR="007C232A" w:rsidRPr="002D5B8F">
        <w:rPr>
          <w:rFonts w:ascii="仿宋_GB2312" w:eastAsia="仿宋_GB2312" w:hAnsi="宋体" w:cs="宋体" w:hint="eastAsia"/>
          <w:color w:val="000000"/>
          <w:kern w:val="0"/>
          <w:sz w:val="32"/>
          <w:szCs w:val="32"/>
        </w:rPr>
        <w:t>计算公式：SP</w:t>
      </w:r>
      <w:smartTag w:uri="urn:schemas-microsoft-com:office:smarttags" w:element="chsdate">
        <w:smartTagPr>
          <w:attr w:name="IsROCDate" w:val="False"/>
          <w:attr w:name="IsLunarDate" w:val="False"/>
          <w:attr w:name="Day" w:val="5"/>
          <w:attr w:name="Month" w:val="2"/>
          <w:attr w:name="Year" w:val="2001"/>
        </w:smartTagPr>
        <w:r w:rsidR="007C232A" w:rsidRPr="002D5B8F">
          <w:rPr>
            <w:rFonts w:ascii="仿宋_GB2312" w:eastAsia="仿宋_GB2312" w:hAnsi="宋体" w:cs="宋体" w:hint="eastAsia"/>
            <w:color w:val="000000"/>
            <w:kern w:val="0"/>
            <w:sz w:val="32"/>
            <w:szCs w:val="32"/>
          </w:rPr>
          <w:t>1/2/5</w:t>
        </w:r>
      </w:smartTag>
      <w:r w:rsidR="007C232A" w:rsidRPr="002D5B8F">
        <w:rPr>
          <w:rFonts w:ascii="仿宋_GB2312" w:eastAsia="仿宋_GB2312" w:hAnsi="宋体" w:cs="宋体" w:hint="eastAsia"/>
          <w:color w:val="000000"/>
          <w:kern w:val="0"/>
          <w:sz w:val="32"/>
          <w:szCs w:val="32"/>
        </w:rPr>
        <w:t>=；SPX=SP1＋SP2＋SP5</w:t>
      </w:r>
    </w:p>
    <w:p w14:paraId="6F453D26" w14:textId="77777777" w:rsidR="007C232A" w:rsidRPr="00C80F96" w:rsidRDefault="007C232A" w:rsidP="00BE17EA">
      <w:pPr>
        <w:pStyle w:val="a3"/>
        <w:spacing w:line="580" w:lineRule="exact"/>
        <w:ind w:firstLine="640"/>
        <w:rPr>
          <w:rFonts w:ascii="仿宋_GB2312" w:eastAsia="仿宋_GB2312" w:cs="宋体"/>
          <w:color w:val="000000"/>
          <w:kern w:val="0"/>
          <w:sz w:val="32"/>
          <w:szCs w:val="32"/>
          <w:lang w:val="en-GB"/>
        </w:rPr>
      </w:pPr>
      <w:r w:rsidRPr="00C80F96">
        <w:rPr>
          <w:rFonts w:ascii="仿宋_GB2312" w:eastAsia="仿宋_GB2312" w:hint="eastAsia"/>
          <w:sz w:val="32"/>
          <w:szCs w:val="32"/>
          <w:lang w:val="en-GB"/>
        </w:rPr>
        <w:t>其中：设备不可用时间和系统要求可用时间，均用小时</w:t>
      </w:r>
      <w:r w:rsidRPr="00C80F96">
        <w:rPr>
          <w:rFonts w:ascii="仿宋_GB2312" w:eastAsia="仿宋_GB2312" w:hint="eastAsia"/>
          <w:sz w:val="32"/>
          <w:szCs w:val="32"/>
          <w:lang w:val="en-GB"/>
        </w:rPr>
        <w:lastRenderedPageBreak/>
        <w:t>数表示。</w:t>
      </w:r>
    </w:p>
    <w:p w14:paraId="4E47C4D4" w14:textId="77777777" w:rsidR="007C232A" w:rsidRPr="00C80F96" w:rsidRDefault="007C232A" w:rsidP="00BA08E1">
      <w:pPr>
        <w:adjustRightInd w:val="0"/>
        <w:snapToGrid w:val="0"/>
        <w:spacing w:line="580" w:lineRule="exact"/>
        <w:ind w:firstLineChars="200" w:firstLine="640"/>
        <w:rPr>
          <w:rFonts w:ascii="仿宋_GB2312" w:eastAsia="仿宋_GB2312" w:cs="宋体"/>
          <w:color w:val="000000"/>
          <w:kern w:val="0"/>
          <w:sz w:val="32"/>
          <w:szCs w:val="32"/>
        </w:rPr>
      </w:pPr>
      <w:r w:rsidRPr="00BA08E1">
        <w:rPr>
          <w:rFonts w:ascii="黑体" w:eastAsia="黑体" w:hAnsi="黑体" w:hint="eastAsia"/>
          <w:sz w:val="32"/>
          <w:szCs w:val="32"/>
        </w:rPr>
        <w:t>第十条</w:t>
      </w:r>
      <w:r w:rsidR="00BA08E1" w:rsidRPr="00D951E4">
        <w:rPr>
          <w:rFonts w:ascii="仿宋_GB2312" w:eastAsia="仿宋_GB2312" w:hint="eastAsia"/>
          <w:sz w:val="32"/>
          <w:szCs w:val="32"/>
        </w:rPr>
        <w:t xml:space="preserve"> </w:t>
      </w:r>
      <w:r w:rsidRPr="00C80F96">
        <w:rPr>
          <w:rFonts w:ascii="仿宋_GB2312" w:eastAsia="仿宋_GB2312" w:hAnsi="宋体" w:cs="宋体" w:hint="eastAsia"/>
          <w:color w:val="000000"/>
          <w:kern w:val="0"/>
          <w:sz w:val="32"/>
          <w:szCs w:val="32"/>
        </w:rPr>
        <w:t>化学指标（CPI）：将指定的杂质和腐蚀产物的浓度参数</w:t>
      </w:r>
      <w:proofErr w:type="gramStart"/>
      <w:r w:rsidRPr="00C80F96">
        <w:rPr>
          <w:rFonts w:ascii="仿宋_GB2312" w:eastAsia="仿宋_GB2312" w:hAnsi="宋体" w:cs="宋体" w:hint="eastAsia"/>
          <w:color w:val="000000"/>
          <w:kern w:val="0"/>
          <w:sz w:val="32"/>
          <w:szCs w:val="32"/>
        </w:rPr>
        <w:t>同相应</w:t>
      </w:r>
      <w:proofErr w:type="gramEnd"/>
      <w:r w:rsidRPr="00C80F96">
        <w:rPr>
          <w:rFonts w:ascii="仿宋_GB2312" w:eastAsia="仿宋_GB2312" w:hAnsi="宋体" w:cs="宋体" w:hint="eastAsia"/>
          <w:color w:val="000000"/>
          <w:kern w:val="0"/>
          <w:sz w:val="32"/>
          <w:szCs w:val="32"/>
        </w:rPr>
        <w:t>的限值进行比较，每个参数都除以它相应的限值，产生一个比值，这些比值的总和再除以所选参数的个数（化学指标的最低值是1.0）。压水堆电站主要选择二回路的化学参数。</w:t>
      </w:r>
    </w:p>
    <w:p w14:paraId="3256D3C1" w14:textId="77777777" w:rsidR="007C232A" w:rsidRPr="00C80F96" w:rsidRDefault="007C232A" w:rsidP="00BA08E1">
      <w:pPr>
        <w:adjustRightInd w:val="0"/>
        <w:snapToGrid w:val="0"/>
        <w:spacing w:line="580" w:lineRule="exact"/>
        <w:ind w:firstLineChars="200" w:firstLine="640"/>
        <w:rPr>
          <w:rFonts w:ascii="仿宋_GB2312" w:eastAsia="仿宋_GB2312" w:cs="宋体"/>
          <w:color w:val="000000"/>
          <w:kern w:val="0"/>
          <w:sz w:val="32"/>
          <w:szCs w:val="32"/>
        </w:rPr>
      </w:pPr>
      <w:r w:rsidRPr="00C80F96">
        <w:rPr>
          <w:rFonts w:ascii="仿宋_GB2312" w:eastAsia="仿宋_GB2312" w:hAnsi="宋体" w:cs="宋体" w:hint="eastAsia"/>
          <w:color w:val="000000"/>
          <w:kern w:val="0"/>
          <w:sz w:val="32"/>
          <w:szCs w:val="32"/>
        </w:rPr>
        <w:t>CPI=（SG Na/LV + SG Cl/LV + SG SO4/LV + FW Fe/ LV + FW Cu/</w:t>
      </w:r>
      <w:proofErr w:type="spellStart"/>
      <w:r w:rsidRPr="00C80F96">
        <w:rPr>
          <w:rFonts w:ascii="仿宋_GB2312" w:eastAsia="仿宋_GB2312" w:hAnsi="宋体" w:cs="宋体" w:hint="eastAsia"/>
          <w:color w:val="000000"/>
          <w:kern w:val="0"/>
          <w:sz w:val="32"/>
          <w:szCs w:val="32"/>
        </w:rPr>
        <w:t>Lv</w:t>
      </w:r>
      <w:proofErr w:type="spellEnd"/>
      <w:r w:rsidRPr="00C80F96">
        <w:rPr>
          <w:rFonts w:ascii="仿宋_GB2312" w:eastAsia="仿宋_GB2312" w:hAnsi="宋体" w:cs="宋体" w:hint="eastAsia"/>
          <w:color w:val="000000"/>
          <w:kern w:val="0"/>
          <w:sz w:val="32"/>
          <w:szCs w:val="32"/>
        </w:rPr>
        <w:t>）/5</w:t>
      </w:r>
    </w:p>
    <w:p w14:paraId="48066BAE" w14:textId="77777777" w:rsidR="007C232A" w:rsidRPr="00C80F96" w:rsidRDefault="007C232A" w:rsidP="00BA08E1">
      <w:pPr>
        <w:adjustRightInd w:val="0"/>
        <w:snapToGrid w:val="0"/>
        <w:spacing w:line="580" w:lineRule="exact"/>
        <w:ind w:firstLineChars="200" w:firstLine="640"/>
        <w:rPr>
          <w:rFonts w:ascii="仿宋_GB2312" w:eastAsia="仿宋_GB2312" w:cs="宋体"/>
          <w:color w:val="000000"/>
          <w:kern w:val="0"/>
          <w:sz w:val="32"/>
          <w:szCs w:val="32"/>
        </w:rPr>
      </w:pPr>
      <w:r w:rsidRPr="00BA08E1">
        <w:rPr>
          <w:rFonts w:ascii="黑体" w:eastAsia="黑体" w:hAnsi="黑体" w:hint="eastAsia"/>
          <w:sz w:val="32"/>
          <w:szCs w:val="32"/>
        </w:rPr>
        <w:t>第十一条</w:t>
      </w:r>
      <w:r w:rsidR="00BA08E1" w:rsidRPr="00D951E4">
        <w:rPr>
          <w:rFonts w:ascii="仿宋_GB2312" w:eastAsia="仿宋_GB2312" w:hint="eastAsia"/>
          <w:sz w:val="32"/>
          <w:szCs w:val="32"/>
        </w:rPr>
        <w:t xml:space="preserve"> </w:t>
      </w:r>
      <w:r w:rsidRPr="00C80F96">
        <w:rPr>
          <w:rFonts w:ascii="仿宋_GB2312" w:eastAsia="仿宋_GB2312" w:hAnsi="宋体" w:cs="宋体" w:hint="eastAsia"/>
          <w:color w:val="000000"/>
          <w:kern w:val="0"/>
          <w:sz w:val="32"/>
          <w:szCs w:val="32"/>
        </w:rPr>
        <w:t>燃料可靠性（FRI）：该指标定义为稳态下一回路冷却剂中I-131的活度(</w:t>
      </w:r>
      <w:proofErr w:type="spellStart"/>
      <w:r w:rsidRPr="00C80F96">
        <w:rPr>
          <w:rFonts w:ascii="仿宋_GB2312" w:eastAsia="仿宋_GB2312" w:hAnsi="宋体" w:cs="宋体" w:hint="eastAsia"/>
          <w:color w:val="000000"/>
          <w:kern w:val="0"/>
          <w:sz w:val="32"/>
          <w:szCs w:val="32"/>
        </w:rPr>
        <w:t>Bq</w:t>
      </w:r>
      <w:proofErr w:type="spellEnd"/>
      <w:r w:rsidRPr="00C80F96">
        <w:rPr>
          <w:rFonts w:ascii="仿宋_GB2312" w:eastAsia="仿宋_GB2312" w:hAnsi="宋体" w:cs="宋体" w:hint="eastAsia"/>
          <w:color w:val="000000"/>
          <w:kern w:val="0"/>
          <w:sz w:val="32"/>
          <w:szCs w:val="32"/>
        </w:rPr>
        <w:t>/g)，经过残留</w:t>
      </w:r>
      <w:proofErr w:type="gramStart"/>
      <w:r w:rsidRPr="00C80F96">
        <w:rPr>
          <w:rFonts w:ascii="仿宋_GB2312" w:eastAsia="仿宋_GB2312" w:hAnsi="宋体" w:cs="宋体" w:hint="eastAsia"/>
          <w:color w:val="000000"/>
          <w:kern w:val="0"/>
          <w:sz w:val="32"/>
          <w:szCs w:val="32"/>
        </w:rPr>
        <w:t>铀贡献</w:t>
      </w:r>
      <w:proofErr w:type="gramEnd"/>
      <w:r w:rsidRPr="00C80F96">
        <w:rPr>
          <w:rFonts w:ascii="仿宋_GB2312" w:eastAsia="仿宋_GB2312" w:hAnsi="宋体" w:cs="宋体" w:hint="eastAsia"/>
          <w:color w:val="000000"/>
          <w:kern w:val="0"/>
          <w:sz w:val="32"/>
          <w:szCs w:val="32"/>
        </w:rPr>
        <w:t>和功率水平的修正，并归一到公共净化因子上，目的是监督燃料包壳的完整性和监测反应堆冷却剂的活度。</w:t>
      </w:r>
    </w:p>
    <w:p w14:paraId="395DC083" w14:textId="77777777" w:rsidR="007C232A" w:rsidRPr="00C80F96" w:rsidRDefault="007C232A" w:rsidP="00C80F96">
      <w:pPr>
        <w:adjustRightInd w:val="0"/>
        <w:snapToGrid w:val="0"/>
        <w:spacing w:line="580" w:lineRule="exact"/>
        <w:ind w:firstLineChars="200" w:firstLine="640"/>
        <w:rPr>
          <w:rFonts w:ascii="仿宋_GB2312" w:eastAsia="仿宋_GB2312" w:cs="宋体"/>
          <w:color w:val="000000"/>
          <w:kern w:val="0"/>
          <w:sz w:val="32"/>
          <w:szCs w:val="32"/>
          <w:lang w:val="pt-BR"/>
        </w:rPr>
      </w:pPr>
      <w:r w:rsidRPr="00C80F96">
        <w:rPr>
          <w:rFonts w:ascii="仿宋_GB2312" w:eastAsia="仿宋_GB2312" w:hAnsi="宋体" w:cs="宋体" w:hint="eastAsia"/>
          <w:color w:val="000000"/>
          <w:kern w:val="0"/>
          <w:sz w:val="32"/>
          <w:szCs w:val="32"/>
          <w:lang w:val="pt-BR"/>
        </w:rPr>
        <w:t xml:space="preserve">FRI= [(A131)N </w:t>
      </w:r>
      <w:r w:rsidRPr="00C80F96">
        <w:rPr>
          <w:rFonts w:ascii="宋体" w:hAnsi="宋体" w:cs="宋体" w:hint="eastAsia"/>
          <w:color w:val="000000"/>
          <w:kern w:val="0"/>
          <w:sz w:val="32"/>
          <w:szCs w:val="32"/>
          <w:lang w:val="pt-BR"/>
        </w:rPr>
        <w:t>–</w:t>
      </w:r>
      <w:r w:rsidRPr="00C80F96">
        <w:rPr>
          <w:rFonts w:ascii="仿宋_GB2312" w:eastAsia="仿宋_GB2312" w:hAnsi="宋体" w:cs="宋体" w:hint="eastAsia"/>
          <w:color w:val="000000"/>
          <w:kern w:val="0"/>
          <w:sz w:val="32"/>
          <w:szCs w:val="32"/>
          <w:lang w:val="pt-BR"/>
        </w:rPr>
        <w:t xml:space="preserve"> k(A134)N] x [(Ln/LHGR) x 100 / Po)]1.5</w:t>
      </w:r>
    </w:p>
    <w:p w14:paraId="5CAF344F" w14:textId="77777777" w:rsidR="007C232A" w:rsidRPr="00C80F96" w:rsidRDefault="007C232A" w:rsidP="00901BDA">
      <w:pPr>
        <w:adjustRightInd w:val="0"/>
        <w:snapToGrid w:val="0"/>
        <w:spacing w:line="580" w:lineRule="exact"/>
        <w:ind w:firstLineChars="200" w:firstLine="640"/>
        <w:rPr>
          <w:rFonts w:ascii="仿宋_GB2312" w:eastAsia="仿宋_GB2312" w:cs="宋体"/>
          <w:color w:val="000000"/>
          <w:kern w:val="0"/>
          <w:sz w:val="32"/>
          <w:szCs w:val="32"/>
        </w:rPr>
      </w:pPr>
      <w:r w:rsidRPr="00901BDA">
        <w:rPr>
          <w:rFonts w:ascii="黑体" w:eastAsia="黑体" w:hAnsi="黑体" w:hint="eastAsia"/>
          <w:sz w:val="32"/>
          <w:szCs w:val="32"/>
        </w:rPr>
        <w:t>第十二条</w:t>
      </w:r>
      <w:r w:rsidR="00901BDA">
        <w:rPr>
          <w:rFonts w:ascii="仿宋_GB2312" w:eastAsia="仿宋_GB2312" w:hint="eastAsia"/>
          <w:sz w:val="32"/>
          <w:szCs w:val="32"/>
        </w:rPr>
        <w:t xml:space="preserve"> </w:t>
      </w:r>
      <w:r w:rsidRPr="00C80F96">
        <w:rPr>
          <w:rFonts w:ascii="仿宋_GB2312" w:eastAsia="仿宋_GB2312" w:hAnsi="宋体" w:cs="宋体" w:hint="eastAsia"/>
          <w:color w:val="000000"/>
          <w:kern w:val="0"/>
          <w:sz w:val="32"/>
          <w:szCs w:val="32"/>
        </w:rPr>
        <w:t>集体剂量（man·</w:t>
      </w:r>
      <w:proofErr w:type="spellStart"/>
      <w:r w:rsidRPr="00C80F96">
        <w:rPr>
          <w:rFonts w:ascii="仿宋_GB2312" w:eastAsia="仿宋_GB2312" w:hAnsi="宋体" w:cs="宋体" w:hint="eastAsia"/>
          <w:color w:val="000000"/>
          <w:kern w:val="0"/>
          <w:sz w:val="32"/>
          <w:szCs w:val="32"/>
        </w:rPr>
        <w:t>Sv</w:t>
      </w:r>
      <w:proofErr w:type="spellEnd"/>
      <w:r w:rsidRPr="00C80F96">
        <w:rPr>
          <w:rFonts w:ascii="仿宋_GB2312" w:eastAsia="仿宋_GB2312" w:hAnsi="宋体" w:cs="宋体" w:hint="eastAsia"/>
          <w:color w:val="000000"/>
          <w:kern w:val="0"/>
          <w:sz w:val="32"/>
          <w:szCs w:val="32"/>
        </w:rPr>
        <w:t>）：在某一给定时间间隔内，核电站所有现场人员（包括承包商与参观人员）所受到的内外照射全身剂量的总和，包括电子剂量计系统数值和内照射估算值。</w:t>
      </w:r>
    </w:p>
    <w:p w14:paraId="4876A8EB" w14:textId="77777777" w:rsidR="007C232A" w:rsidRPr="00C80F96" w:rsidRDefault="007C232A" w:rsidP="00C80F96">
      <w:pPr>
        <w:adjustRightInd w:val="0"/>
        <w:snapToGrid w:val="0"/>
        <w:spacing w:line="580" w:lineRule="exact"/>
        <w:ind w:firstLineChars="200" w:firstLine="640"/>
        <w:rPr>
          <w:rFonts w:ascii="仿宋_GB2312" w:eastAsia="仿宋_GB2312"/>
          <w:bCs/>
          <w:sz w:val="32"/>
          <w:szCs w:val="32"/>
        </w:rPr>
      </w:pPr>
      <w:r w:rsidRPr="00C80F96">
        <w:rPr>
          <w:rFonts w:ascii="仿宋_GB2312" w:eastAsia="仿宋_GB2312" w:hAnsi="宋体" w:cs="宋体" w:hint="eastAsia"/>
          <w:color w:val="000000"/>
          <w:kern w:val="0"/>
          <w:sz w:val="32"/>
          <w:szCs w:val="32"/>
        </w:rPr>
        <w:t>注：集体剂量用于比较各核电站在减少工作人员受照剂量方面所实施的辐射防护计划的成效，反映电站系统设备状态，及在执行辐射防护程序和降低电站员工辐射剂量方面的有效性。</w:t>
      </w:r>
    </w:p>
    <w:p w14:paraId="0B3B20A2" w14:textId="77777777" w:rsidR="007C232A" w:rsidRPr="00092748" w:rsidRDefault="007C232A" w:rsidP="00092748">
      <w:pPr>
        <w:pStyle w:val="af5"/>
        <w:widowControl/>
        <w:shd w:val="clear" w:color="auto" w:fill="FFFFFF"/>
        <w:spacing w:line="580" w:lineRule="exact"/>
        <w:jc w:val="center"/>
        <w:rPr>
          <w:rFonts w:ascii="仿宋_GB2312" w:eastAsia="仿宋_GB2312" w:hAnsi="黑体" w:cs="宋体"/>
          <w:color w:val="3E3E3E"/>
          <w:kern w:val="0"/>
          <w:sz w:val="32"/>
          <w:szCs w:val="32"/>
        </w:rPr>
      </w:pPr>
      <w:r w:rsidRPr="00092748">
        <w:rPr>
          <w:rFonts w:ascii="仿宋_GB2312" w:eastAsia="仿宋_GB2312" w:hAnsi="黑体" w:cs="宋体" w:hint="eastAsia"/>
          <w:color w:val="3E3E3E"/>
          <w:kern w:val="0"/>
          <w:sz w:val="32"/>
          <w:szCs w:val="32"/>
        </w:rPr>
        <w:t>第三章</w:t>
      </w:r>
      <w:r w:rsidR="00092748" w:rsidRPr="00092748">
        <w:rPr>
          <w:rFonts w:ascii="仿宋_GB2312" w:eastAsia="仿宋_GB2312" w:hAnsi="黑体" w:cs="宋体" w:hint="eastAsia"/>
          <w:color w:val="3E3E3E"/>
          <w:kern w:val="0"/>
          <w:sz w:val="32"/>
          <w:szCs w:val="32"/>
        </w:rPr>
        <w:t xml:space="preserve"> </w:t>
      </w:r>
      <w:r w:rsidRPr="00092748">
        <w:rPr>
          <w:rFonts w:ascii="仿宋_GB2312" w:eastAsia="仿宋_GB2312" w:hAnsi="黑体" w:cs="宋体" w:hint="eastAsia"/>
          <w:color w:val="3E3E3E"/>
          <w:kern w:val="0"/>
          <w:sz w:val="32"/>
          <w:szCs w:val="32"/>
        </w:rPr>
        <w:t>核电厂运行业绩指标综合统计</w:t>
      </w:r>
    </w:p>
    <w:p w14:paraId="765F917C" w14:textId="77777777" w:rsidR="007C232A" w:rsidRPr="00092748" w:rsidRDefault="007C232A" w:rsidP="003A7A3B">
      <w:pPr>
        <w:adjustRightInd w:val="0"/>
        <w:snapToGrid w:val="0"/>
        <w:spacing w:line="580" w:lineRule="exact"/>
        <w:ind w:firstLineChars="200" w:firstLine="640"/>
        <w:rPr>
          <w:rFonts w:ascii="仿宋_GB2312" w:eastAsia="仿宋_GB2312"/>
          <w:sz w:val="32"/>
          <w:szCs w:val="32"/>
          <w:lang w:val="en-GB"/>
        </w:rPr>
      </w:pPr>
      <w:r w:rsidRPr="003A7A3B">
        <w:rPr>
          <w:rFonts w:ascii="黑体" w:eastAsia="黑体" w:hAnsi="黑体" w:hint="eastAsia"/>
          <w:sz w:val="32"/>
          <w:szCs w:val="32"/>
        </w:rPr>
        <w:t>第十三条</w:t>
      </w:r>
      <w:r w:rsidR="0014141C">
        <w:rPr>
          <w:rFonts w:ascii="仿宋_GB2312" w:eastAsia="仿宋_GB2312" w:hint="eastAsia"/>
          <w:sz w:val="32"/>
          <w:szCs w:val="32"/>
        </w:rPr>
        <w:t xml:space="preserve"> </w:t>
      </w:r>
      <w:r w:rsidRPr="00092748">
        <w:rPr>
          <w:rFonts w:ascii="仿宋_GB2312" w:eastAsia="仿宋_GB2312" w:hAnsi="宋体" w:hint="eastAsia"/>
          <w:sz w:val="32"/>
          <w:szCs w:val="32"/>
          <w:lang w:val="en-GB"/>
        </w:rPr>
        <w:t>综合指数：用于衡量对核电机组整体运行业</w:t>
      </w:r>
      <w:r w:rsidRPr="00092748">
        <w:rPr>
          <w:rFonts w:ascii="仿宋_GB2312" w:eastAsia="仿宋_GB2312" w:hAnsi="宋体" w:hint="eastAsia"/>
          <w:sz w:val="32"/>
          <w:szCs w:val="32"/>
          <w:lang w:val="en-GB"/>
        </w:rPr>
        <w:lastRenderedPageBreak/>
        <w:t>绩水平。</w:t>
      </w:r>
    </w:p>
    <w:p w14:paraId="4B5D2973" w14:textId="77777777" w:rsidR="007C232A" w:rsidRPr="008B29A5" w:rsidRDefault="008B29A5" w:rsidP="003A7A3B">
      <w:pPr>
        <w:spacing w:line="580" w:lineRule="exact"/>
        <w:ind w:firstLineChars="200" w:firstLine="640"/>
        <w:rPr>
          <w:rFonts w:ascii="仿宋_GB2312" w:eastAsia="仿宋_GB2312"/>
          <w:sz w:val="32"/>
          <w:szCs w:val="32"/>
          <w:lang w:val="en-GB"/>
        </w:rPr>
      </w:pPr>
      <w:r>
        <w:rPr>
          <w:rFonts w:ascii="仿宋_GB2312" w:eastAsia="仿宋_GB2312" w:hAnsi="宋体" w:hint="eastAsia"/>
          <w:sz w:val="32"/>
          <w:szCs w:val="32"/>
          <w:lang w:val="en-GB"/>
        </w:rPr>
        <w:t>1.</w:t>
      </w:r>
      <w:r w:rsidR="007C232A" w:rsidRPr="008B29A5">
        <w:rPr>
          <w:rFonts w:ascii="仿宋_GB2312" w:eastAsia="仿宋_GB2312" w:hAnsi="宋体" w:hint="eastAsia"/>
          <w:sz w:val="32"/>
          <w:szCs w:val="32"/>
          <w:lang w:val="en-GB"/>
        </w:rPr>
        <w:t>定义：一台机组的综合指数是指依据机组换料周期的不同，把指标中的11项指标经加权处理后整合成的一个最大值为100的单一指数，数值越大表明机组整体性能越好。</w:t>
      </w:r>
    </w:p>
    <w:p w14:paraId="500BEDBA" w14:textId="77777777" w:rsidR="007C232A" w:rsidRPr="003A7A3B" w:rsidRDefault="003A7A3B" w:rsidP="003A7A3B">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2.</w:t>
      </w:r>
      <w:r w:rsidR="007C232A" w:rsidRPr="00092748">
        <w:rPr>
          <w:rFonts w:ascii="仿宋_GB2312" w:eastAsia="仿宋_GB2312" w:hAnsi="宋体" w:hint="eastAsia"/>
          <w:sz w:val="32"/>
          <w:szCs w:val="32"/>
          <w:lang w:val="en-GB"/>
        </w:rPr>
        <w:t>计算公式：通过指标评分标准表的函数关系将单项性能指标值量化为一个介于</w:t>
      </w:r>
      <w:r w:rsidR="007C232A" w:rsidRPr="003A7A3B">
        <w:rPr>
          <w:rFonts w:ascii="仿宋_GB2312" w:eastAsia="仿宋_GB2312" w:hAnsi="宋体" w:hint="eastAsia"/>
          <w:sz w:val="32"/>
          <w:szCs w:val="32"/>
          <w:lang w:val="en-GB"/>
        </w:rPr>
        <w:t>0-</w:t>
      </w:r>
      <w:r w:rsidR="007C232A" w:rsidRPr="00092748">
        <w:rPr>
          <w:rFonts w:ascii="仿宋_GB2312" w:eastAsia="仿宋_GB2312" w:hAnsi="宋体" w:hint="eastAsia"/>
          <w:sz w:val="32"/>
          <w:szCs w:val="32"/>
          <w:lang w:val="en-GB"/>
        </w:rPr>
        <w:t>100之间的指数点，再把该指数点乘上一个预定的权重因子，得到单项指标的分值，然后把单项指标分值相加即得到机组的综合指数。无单位，精确到小数点后两位。</w:t>
      </w:r>
    </w:p>
    <w:p w14:paraId="74ABE750" w14:textId="77777777" w:rsidR="007C232A" w:rsidRPr="003A7A3B" w:rsidRDefault="003A7A3B" w:rsidP="003A7A3B">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3.</w:t>
      </w:r>
      <w:r w:rsidR="007C232A" w:rsidRPr="00092748">
        <w:rPr>
          <w:rFonts w:ascii="仿宋_GB2312" w:eastAsia="仿宋_GB2312" w:hAnsi="宋体" w:hint="eastAsia"/>
          <w:sz w:val="32"/>
          <w:szCs w:val="32"/>
          <w:lang w:val="en-GB"/>
        </w:rPr>
        <w:t>对于换料周期不同，部分单项指标的周期值也有不同，即反应堆换料周期是12个月或24个月，或者是重水堆，采用2年周期值；如果堆换料周期是18个月，采用18个月周期值。</w:t>
      </w:r>
    </w:p>
    <w:p w14:paraId="01D5D3BD" w14:textId="77777777" w:rsidR="007C232A" w:rsidRPr="00092748" w:rsidRDefault="007C232A" w:rsidP="00345738">
      <w:pPr>
        <w:adjustRightInd w:val="0"/>
        <w:snapToGrid w:val="0"/>
        <w:spacing w:line="580" w:lineRule="exact"/>
        <w:ind w:firstLineChars="200" w:firstLine="640"/>
        <w:jc w:val="left"/>
        <w:rPr>
          <w:rFonts w:ascii="仿宋_GB2312" w:eastAsia="仿宋_GB2312"/>
          <w:b/>
          <w:sz w:val="32"/>
          <w:szCs w:val="32"/>
        </w:rPr>
      </w:pPr>
      <w:r w:rsidRPr="003A7A3B">
        <w:rPr>
          <w:rFonts w:ascii="黑体" w:eastAsia="黑体" w:hAnsi="黑体" w:hint="eastAsia"/>
          <w:sz w:val="32"/>
          <w:szCs w:val="32"/>
        </w:rPr>
        <w:t>第十四条</w:t>
      </w:r>
      <w:r w:rsidR="003A7A3B" w:rsidRPr="003A7A3B">
        <w:rPr>
          <w:rFonts w:ascii="仿宋_GB2312" w:eastAsia="仿宋_GB2312" w:hint="eastAsia"/>
          <w:sz w:val="32"/>
          <w:szCs w:val="32"/>
        </w:rPr>
        <w:t xml:space="preserve"> </w:t>
      </w:r>
      <w:r w:rsidRPr="00092748">
        <w:rPr>
          <w:rFonts w:ascii="仿宋_GB2312" w:eastAsia="仿宋_GB2312" w:hAnsi="宋体" w:hint="eastAsia"/>
          <w:sz w:val="32"/>
          <w:szCs w:val="32"/>
        </w:rPr>
        <w:t>指标评分标准表如下:</w:t>
      </w:r>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79"/>
        <w:gridCol w:w="577"/>
        <w:gridCol w:w="1011"/>
        <w:gridCol w:w="576"/>
        <w:gridCol w:w="2019"/>
        <w:gridCol w:w="2309"/>
        <w:gridCol w:w="1010"/>
        <w:gridCol w:w="447"/>
      </w:tblGrid>
      <w:tr w:rsidR="007C232A" w:rsidRPr="00D239B2" w14:paraId="2982619B" w14:textId="77777777" w:rsidTr="00BE3272">
        <w:trPr>
          <w:trHeight w:val="286"/>
          <w:tblHeader/>
        </w:trPr>
        <w:tc>
          <w:tcPr>
            <w:tcW w:w="339" w:type="pct"/>
            <w:vMerge w:val="restart"/>
            <w:tcBorders>
              <w:top w:val="single" w:sz="4" w:space="0" w:color="auto"/>
            </w:tcBorders>
            <w:noWrap/>
            <w:vAlign w:val="center"/>
          </w:tcPr>
          <w:p w14:paraId="0328ADE4" w14:textId="77777777" w:rsidR="007C232A" w:rsidRPr="00D239B2" w:rsidRDefault="007C232A" w:rsidP="00BE3272">
            <w:pPr>
              <w:widowControl/>
              <w:jc w:val="center"/>
              <w:rPr>
                <w:rFonts w:asciiTheme="minorEastAsia" w:eastAsiaTheme="minorEastAsia" w:hAnsiTheme="minorEastAsia" w:cs="Arial"/>
                <w:b/>
                <w:bCs/>
                <w:kern w:val="0"/>
                <w:sz w:val="24"/>
                <w:szCs w:val="24"/>
              </w:rPr>
            </w:pPr>
            <w:r w:rsidRPr="00D239B2">
              <w:rPr>
                <w:rFonts w:asciiTheme="minorEastAsia" w:eastAsiaTheme="minorEastAsia" w:hAnsiTheme="minorEastAsia" w:cs="Arial" w:hint="eastAsia"/>
                <w:b/>
                <w:bCs/>
                <w:kern w:val="0"/>
                <w:sz w:val="24"/>
                <w:szCs w:val="24"/>
              </w:rPr>
              <w:t>指标</w:t>
            </w:r>
          </w:p>
        </w:tc>
        <w:tc>
          <w:tcPr>
            <w:tcW w:w="338" w:type="pct"/>
            <w:vMerge w:val="restart"/>
            <w:tcBorders>
              <w:top w:val="single" w:sz="4" w:space="0" w:color="auto"/>
            </w:tcBorders>
            <w:noWrap/>
            <w:vAlign w:val="center"/>
          </w:tcPr>
          <w:p w14:paraId="4AA3A818" w14:textId="77777777" w:rsidR="007C232A" w:rsidRPr="00D239B2" w:rsidRDefault="007C232A" w:rsidP="00BE3272">
            <w:pPr>
              <w:widowControl/>
              <w:jc w:val="center"/>
              <w:rPr>
                <w:rFonts w:asciiTheme="minorEastAsia" w:eastAsiaTheme="minorEastAsia" w:hAnsiTheme="minorEastAsia" w:cs="Arial"/>
                <w:b/>
                <w:bCs/>
                <w:kern w:val="0"/>
                <w:sz w:val="24"/>
                <w:szCs w:val="24"/>
              </w:rPr>
            </w:pPr>
            <w:r w:rsidRPr="00D239B2">
              <w:rPr>
                <w:rFonts w:asciiTheme="minorEastAsia" w:eastAsiaTheme="minorEastAsia" w:hAnsiTheme="minorEastAsia" w:cs="Arial" w:hint="eastAsia"/>
                <w:b/>
                <w:bCs/>
                <w:kern w:val="0"/>
                <w:sz w:val="24"/>
                <w:szCs w:val="24"/>
              </w:rPr>
              <w:t>权重</w:t>
            </w:r>
          </w:p>
        </w:tc>
        <w:tc>
          <w:tcPr>
            <w:tcW w:w="4324" w:type="pct"/>
            <w:gridSpan w:val="6"/>
            <w:tcBorders>
              <w:top w:val="single" w:sz="4" w:space="0" w:color="auto"/>
            </w:tcBorders>
            <w:noWrap/>
            <w:vAlign w:val="center"/>
          </w:tcPr>
          <w:p w14:paraId="03748E43" w14:textId="77777777" w:rsidR="007C232A" w:rsidRPr="00D239B2" w:rsidRDefault="007C232A" w:rsidP="00BE3272">
            <w:pPr>
              <w:widowControl/>
              <w:jc w:val="center"/>
              <w:rPr>
                <w:rFonts w:asciiTheme="minorEastAsia" w:eastAsiaTheme="minorEastAsia" w:hAnsiTheme="minorEastAsia" w:cs="Arial"/>
                <w:b/>
                <w:bCs/>
                <w:kern w:val="0"/>
                <w:sz w:val="24"/>
                <w:szCs w:val="24"/>
              </w:rPr>
            </w:pPr>
            <w:r w:rsidRPr="00D239B2">
              <w:rPr>
                <w:rFonts w:asciiTheme="minorEastAsia" w:eastAsiaTheme="minorEastAsia" w:hAnsiTheme="minorEastAsia" w:cs="Arial" w:hint="eastAsia"/>
                <w:b/>
                <w:bCs/>
                <w:kern w:val="0"/>
                <w:sz w:val="24"/>
                <w:szCs w:val="24"/>
              </w:rPr>
              <w:t>评分标准</w:t>
            </w:r>
          </w:p>
        </w:tc>
      </w:tr>
      <w:tr w:rsidR="007C232A" w:rsidRPr="00D239B2" w14:paraId="2C262414" w14:textId="77777777" w:rsidTr="00BE3272">
        <w:trPr>
          <w:trHeight w:val="286"/>
          <w:tblHeader/>
        </w:trPr>
        <w:tc>
          <w:tcPr>
            <w:tcW w:w="339" w:type="pct"/>
            <w:vMerge/>
            <w:vAlign w:val="center"/>
          </w:tcPr>
          <w:p w14:paraId="09E732CE" w14:textId="77777777" w:rsidR="007C232A" w:rsidRPr="00D239B2" w:rsidRDefault="007C232A" w:rsidP="00BE3272">
            <w:pPr>
              <w:widowControl/>
              <w:jc w:val="left"/>
              <w:rPr>
                <w:rFonts w:asciiTheme="minorEastAsia" w:eastAsiaTheme="minorEastAsia" w:hAnsiTheme="minorEastAsia" w:cs="Arial"/>
                <w:b/>
                <w:bCs/>
                <w:kern w:val="0"/>
                <w:sz w:val="24"/>
                <w:szCs w:val="24"/>
              </w:rPr>
            </w:pPr>
          </w:p>
        </w:tc>
        <w:tc>
          <w:tcPr>
            <w:tcW w:w="338" w:type="pct"/>
            <w:vMerge/>
            <w:vAlign w:val="center"/>
          </w:tcPr>
          <w:p w14:paraId="0594C4DB" w14:textId="77777777" w:rsidR="007C232A" w:rsidRPr="00D239B2" w:rsidRDefault="007C232A" w:rsidP="00BE3272">
            <w:pPr>
              <w:widowControl/>
              <w:jc w:val="left"/>
              <w:rPr>
                <w:rFonts w:asciiTheme="minorEastAsia" w:eastAsiaTheme="minorEastAsia" w:hAnsiTheme="minorEastAsia" w:cs="Arial"/>
                <w:b/>
                <w:bCs/>
                <w:kern w:val="0"/>
                <w:sz w:val="24"/>
                <w:szCs w:val="24"/>
              </w:rPr>
            </w:pPr>
          </w:p>
        </w:tc>
        <w:tc>
          <w:tcPr>
            <w:tcW w:w="931" w:type="pct"/>
            <w:gridSpan w:val="2"/>
            <w:noWrap/>
            <w:vAlign w:val="center"/>
          </w:tcPr>
          <w:p w14:paraId="3750CBFE" w14:textId="77777777" w:rsidR="007C232A" w:rsidRPr="00D239B2" w:rsidRDefault="007C232A" w:rsidP="00BE3272">
            <w:pPr>
              <w:widowControl/>
              <w:jc w:val="center"/>
              <w:rPr>
                <w:rFonts w:asciiTheme="minorEastAsia" w:eastAsiaTheme="minorEastAsia" w:hAnsiTheme="minorEastAsia" w:cs="Arial"/>
                <w:b/>
                <w:bCs/>
                <w:kern w:val="0"/>
                <w:sz w:val="24"/>
                <w:szCs w:val="24"/>
              </w:rPr>
            </w:pPr>
            <w:r w:rsidRPr="00D239B2">
              <w:rPr>
                <w:rFonts w:asciiTheme="minorEastAsia" w:eastAsiaTheme="minorEastAsia" w:hAnsiTheme="minorEastAsia" w:cs="Arial" w:hint="eastAsia"/>
                <w:b/>
                <w:bCs/>
                <w:kern w:val="0"/>
                <w:sz w:val="24"/>
                <w:szCs w:val="24"/>
              </w:rPr>
              <w:t>满分</w:t>
            </w:r>
          </w:p>
        </w:tc>
        <w:tc>
          <w:tcPr>
            <w:tcW w:w="2538" w:type="pct"/>
            <w:gridSpan w:val="2"/>
            <w:noWrap/>
            <w:vAlign w:val="center"/>
          </w:tcPr>
          <w:p w14:paraId="31AE9F39" w14:textId="77777777" w:rsidR="007C232A" w:rsidRPr="00D239B2" w:rsidRDefault="007C232A" w:rsidP="00BE3272">
            <w:pPr>
              <w:widowControl/>
              <w:jc w:val="center"/>
              <w:rPr>
                <w:rFonts w:asciiTheme="minorEastAsia" w:eastAsiaTheme="minorEastAsia" w:hAnsiTheme="minorEastAsia" w:cs="Arial"/>
                <w:b/>
                <w:bCs/>
                <w:kern w:val="0"/>
                <w:sz w:val="24"/>
                <w:szCs w:val="24"/>
              </w:rPr>
            </w:pPr>
            <w:r w:rsidRPr="00D239B2">
              <w:rPr>
                <w:rFonts w:asciiTheme="minorEastAsia" w:eastAsiaTheme="minorEastAsia" w:hAnsiTheme="minorEastAsia" w:cs="Arial" w:hint="eastAsia"/>
                <w:b/>
                <w:bCs/>
                <w:kern w:val="0"/>
                <w:sz w:val="24"/>
                <w:szCs w:val="24"/>
              </w:rPr>
              <w:t>量化得分</w:t>
            </w:r>
          </w:p>
        </w:tc>
        <w:tc>
          <w:tcPr>
            <w:tcW w:w="854" w:type="pct"/>
            <w:gridSpan w:val="2"/>
            <w:noWrap/>
            <w:vAlign w:val="center"/>
          </w:tcPr>
          <w:p w14:paraId="131F2048" w14:textId="77777777" w:rsidR="007C232A" w:rsidRPr="00D239B2" w:rsidRDefault="007C232A" w:rsidP="00BE3272">
            <w:pPr>
              <w:widowControl/>
              <w:jc w:val="center"/>
              <w:rPr>
                <w:rFonts w:asciiTheme="minorEastAsia" w:eastAsiaTheme="minorEastAsia" w:hAnsiTheme="minorEastAsia" w:cs="Arial"/>
                <w:b/>
                <w:bCs/>
                <w:kern w:val="0"/>
                <w:sz w:val="24"/>
                <w:szCs w:val="24"/>
              </w:rPr>
            </w:pPr>
            <w:r w:rsidRPr="00D239B2">
              <w:rPr>
                <w:rFonts w:asciiTheme="minorEastAsia" w:eastAsiaTheme="minorEastAsia" w:hAnsiTheme="minorEastAsia" w:cs="Arial" w:hint="eastAsia"/>
                <w:b/>
                <w:bCs/>
                <w:kern w:val="0"/>
                <w:sz w:val="24"/>
                <w:szCs w:val="24"/>
              </w:rPr>
              <w:t>零分</w:t>
            </w:r>
          </w:p>
        </w:tc>
      </w:tr>
      <w:tr w:rsidR="007C232A" w:rsidRPr="00D239B2" w14:paraId="1304D3E2" w14:textId="77777777" w:rsidTr="00BE3272">
        <w:trPr>
          <w:trHeight w:val="286"/>
        </w:trPr>
        <w:tc>
          <w:tcPr>
            <w:tcW w:w="339" w:type="pct"/>
            <w:noWrap/>
            <w:vAlign w:val="center"/>
          </w:tcPr>
          <w:p w14:paraId="4E42D667"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UCF</w:t>
            </w:r>
          </w:p>
        </w:tc>
        <w:tc>
          <w:tcPr>
            <w:tcW w:w="338" w:type="pct"/>
            <w:noWrap/>
            <w:vAlign w:val="center"/>
          </w:tcPr>
          <w:p w14:paraId="7527FDAA"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0.15</w:t>
            </w:r>
          </w:p>
        </w:tc>
        <w:tc>
          <w:tcPr>
            <w:tcW w:w="593" w:type="pct"/>
            <w:noWrap/>
            <w:vAlign w:val="center"/>
          </w:tcPr>
          <w:p w14:paraId="1A3B5134"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≥92%</w:t>
            </w:r>
          </w:p>
        </w:tc>
        <w:tc>
          <w:tcPr>
            <w:tcW w:w="338" w:type="pct"/>
            <w:noWrap/>
            <w:vAlign w:val="center"/>
          </w:tcPr>
          <w:p w14:paraId="70A707D6"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noWrap/>
            <w:vAlign w:val="center"/>
          </w:tcPr>
          <w:p w14:paraId="52E495AD"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80%＜UCF＜92%</w:t>
            </w:r>
          </w:p>
        </w:tc>
        <w:tc>
          <w:tcPr>
            <w:tcW w:w="1354" w:type="pct"/>
            <w:noWrap/>
            <w:vAlign w:val="center"/>
          </w:tcPr>
          <w:p w14:paraId="264EEE48"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（UCF-80）×8.333</w:t>
            </w:r>
          </w:p>
        </w:tc>
        <w:tc>
          <w:tcPr>
            <w:tcW w:w="592" w:type="pct"/>
            <w:noWrap/>
            <w:vAlign w:val="center"/>
          </w:tcPr>
          <w:p w14:paraId="3D18113B"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≤80%</w:t>
            </w:r>
          </w:p>
        </w:tc>
        <w:tc>
          <w:tcPr>
            <w:tcW w:w="262" w:type="pct"/>
            <w:noWrap/>
            <w:vAlign w:val="center"/>
          </w:tcPr>
          <w:p w14:paraId="5F59CC70"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r w:rsidR="007C232A" w:rsidRPr="00D239B2" w14:paraId="585207F5" w14:textId="77777777" w:rsidTr="00BE3272">
        <w:trPr>
          <w:trHeight w:val="286"/>
        </w:trPr>
        <w:tc>
          <w:tcPr>
            <w:tcW w:w="339" w:type="pct"/>
            <w:noWrap/>
            <w:vAlign w:val="center"/>
          </w:tcPr>
          <w:p w14:paraId="3B414DDC"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FLR</w:t>
            </w:r>
          </w:p>
        </w:tc>
        <w:tc>
          <w:tcPr>
            <w:tcW w:w="338" w:type="pct"/>
            <w:noWrap/>
            <w:vAlign w:val="center"/>
          </w:tcPr>
          <w:p w14:paraId="5354B2B5"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0.15</w:t>
            </w:r>
          </w:p>
        </w:tc>
        <w:tc>
          <w:tcPr>
            <w:tcW w:w="593" w:type="pct"/>
            <w:noWrap/>
            <w:vAlign w:val="center"/>
          </w:tcPr>
          <w:p w14:paraId="7358B606"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w:t>
            </w:r>
          </w:p>
        </w:tc>
        <w:tc>
          <w:tcPr>
            <w:tcW w:w="338" w:type="pct"/>
            <w:noWrap/>
            <w:vAlign w:val="center"/>
          </w:tcPr>
          <w:p w14:paraId="2D4BF014"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noWrap/>
            <w:vAlign w:val="center"/>
          </w:tcPr>
          <w:p w14:paraId="5545F852"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1%＜FLR＜8%</w:t>
            </w:r>
          </w:p>
        </w:tc>
        <w:tc>
          <w:tcPr>
            <w:tcW w:w="1354" w:type="pct"/>
            <w:noWrap/>
            <w:vAlign w:val="center"/>
          </w:tcPr>
          <w:p w14:paraId="78543F72"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（8-FLR）×14.29</w:t>
            </w:r>
          </w:p>
        </w:tc>
        <w:tc>
          <w:tcPr>
            <w:tcW w:w="592" w:type="pct"/>
            <w:noWrap/>
            <w:vAlign w:val="center"/>
          </w:tcPr>
          <w:p w14:paraId="5312FA90"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≥8%</w:t>
            </w:r>
          </w:p>
        </w:tc>
        <w:tc>
          <w:tcPr>
            <w:tcW w:w="262" w:type="pct"/>
            <w:noWrap/>
            <w:vAlign w:val="center"/>
          </w:tcPr>
          <w:p w14:paraId="1A2353C9"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r w:rsidR="007C232A" w:rsidRPr="00D239B2" w14:paraId="6A1EBA16" w14:textId="77777777" w:rsidTr="00BE3272">
        <w:trPr>
          <w:trHeight w:val="286"/>
        </w:trPr>
        <w:tc>
          <w:tcPr>
            <w:tcW w:w="339" w:type="pct"/>
            <w:noWrap/>
            <w:vAlign w:val="center"/>
          </w:tcPr>
          <w:p w14:paraId="5E0815D9"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UA7</w:t>
            </w:r>
          </w:p>
        </w:tc>
        <w:tc>
          <w:tcPr>
            <w:tcW w:w="338" w:type="pct"/>
            <w:noWrap/>
            <w:vAlign w:val="center"/>
          </w:tcPr>
          <w:p w14:paraId="773B097C"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0.15</w:t>
            </w:r>
          </w:p>
        </w:tc>
        <w:tc>
          <w:tcPr>
            <w:tcW w:w="593" w:type="pct"/>
            <w:noWrap/>
            <w:vAlign w:val="center"/>
          </w:tcPr>
          <w:p w14:paraId="2EE7CA37"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≤0.5</w:t>
            </w:r>
          </w:p>
        </w:tc>
        <w:tc>
          <w:tcPr>
            <w:tcW w:w="338" w:type="pct"/>
            <w:noWrap/>
            <w:vAlign w:val="center"/>
          </w:tcPr>
          <w:p w14:paraId="0D4576AD"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noWrap/>
            <w:vAlign w:val="center"/>
          </w:tcPr>
          <w:p w14:paraId="3CE68465"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0.5＜UA7＜1.5</w:t>
            </w:r>
          </w:p>
        </w:tc>
        <w:tc>
          <w:tcPr>
            <w:tcW w:w="1354" w:type="pct"/>
            <w:noWrap/>
            <w:vAlign w:val="center"/>
          </w:tcPr>
          <w:p w14:paraId="7271DD59"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（1.5-UA7）×100</w:t>
            </w:r>
          </w:p>
        </w:tc>
        <w:tc>
          <w:tcPr>
            <w:tcW w:w="592" w:type="pct"/>
            <w:noWrap/>
            <w:vAlign w:val="center"/>
          </w:tcPr>
          <w:p w14:paraId="15458430"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≥1.5</w:t>
            </w:r>
          </w:p>
        </w:tc>
        <w:tc>
          <w:tcPr>
            <w:tcW w:w="262" w:type="pct"/>
            <w:noWrap/>
            <w:vAlign w:val="center"/>
          </w:tcPr>
          <w:p w14:paraId="26ECEBCC"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r w:rsidR="007C232A" w:rsidRPr="00D239B2" w14:paraId="50764EA3" w14:textId="77777777" w:rsidTr="00BE3272">
        <w:trPr>
          <w:trHeight w:val="286"/>
        </w:trPr>
        <w:tc>
          <w:tcPr>
            <w:tcW w:w="339" w:type="pct"/>
            <w:noWrap/>
            <w:vAlign w:val="center"/>
          </w:tcPr>
          <w:p w14:paraId="37D5DB0C"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SP1</w:t>
            </w:r>
          </w:p>
        </w:tc>
        <w:tc>
          <w:tcPr>
            <w:tcW w:w="338" w:type="pct"/>
            <w:noWrap/>
            <w:vAlign w:val="center"/>
          </w:tcPr>
          <w:p w14:paraId="22413B45"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0.10</w:t>
            </w:r>
          </w:p>
        </w:tc>
        <w:tc>
          <w:tcPr>
            <w:tcW w:w="593" w:type="pct"/>
            <w:noWrap/>
            <w:vAlign w:val="center"/>
          </w:tcPr>
          <w:p w14:paraId="3B8B8CB9"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≤0.020</w:t>
            </w:r>
          </w:p>
        </w:tc>
        <w:tc>
          <w:tcPr>
            <w:tcW w:w="338" w:type="pct"/>
            <w:noWrap/>
            <w:vAlign w:val="center"/>
          </w:tcPr>
          <w:p w14:paraId="73A27A0F"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noWrap/>
            <w:vAlign w:val="center"/>
          </w:tcPr>
          <w:p w14:paraId="3B317E05"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0.020＜SP1＜0.030</w:t>
            </w:r>
          </w:p>
        </w:tc>
        <w:tc>
          <w:tcPr>
            <w:tcW w:w="1354" w:type="pct"/>
            <w:noWrap/>
            <w:vAlign w:val="center"/>
          </w:tcPr>
          <w:p w14:paraId="74BC674C"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（0.030-SP1）×10000</w:t>
            </w:r>
          </w:p>
        </w:tc>
        <w:tc>
          <w:tcPr>
            <w:tcW w:w="592" w:type="pct"/>
            <w:noWrap/>
            <w:vAlign w:val="center"/>
          </w:tcPr>
          <w:p w14:paraId="7AD3B482"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≥0.030</w:t>
            </w:r>
          </w:p>
        </w:tc>
        <w:tc>
          <w:tcPr>
            <w:tcW w:w="262" w:type="pct"/>
            <w:noWrap/>
            <w:vAlign w:val="center"/>
          </w:tcPr>
          <w:p w14:paraId="26C0E0A1"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r w:rsidR="007C232A" w:rsidRPr="00D239B2" w14:paraId="3835B587" w14:textId="77777777" w:rsidTr="00BE3272">
        <w:trPr>
          <w:trHeight w:val="286"/>
        </w:trPr>
        <w:tc>
          <w:tcPr>
            <w:tcW w:w="339" w:type="pct"/>
            <w:noWrap/>
            <w:vAlign w:val="center"/>
          </w:tcPr>
          <w:p w14:paraId="65B3AE5C"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SP2</w:t>
            </w:r>
          </w:p>
        </w:tc>
        <w:tc>
          <w:tcPr>
            <w:tcW w:w="338" w:type="pct"/>
            <w:noWrap/>
            <w:vAlign w:val="center"/>
          </w:tcPr>
          <w:p w14:paraId="3934F5E2"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0.10</w:t>
            </w:r>
          </w:p>
        </w:tc>
        <w:tc>
          <w:tcPr>
            <w:tcW w:w="593" w:type="pct"/>
            <w:noWrap/>
            <w:vAlign w:val="center"/>
          </w:tcPr>
          <w:p w14:paraId="3FC9BF9C"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≤0.020</w:t>
            </w:r>
          </w:p>
        </w:tc>
        <w:tc>
          <w:tcPr>
            <w:tcW w:w="338" w:type="pct"/>
            <w:noWrap/>
            <w:vAlign w:val="center"/>
          </w:tcPr>
          <w:p w14:paraId="39C89BB7"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noWrap/>
            <w:vAlign w:val="center"/>
          </w:tcPr>
          <w:p w14:paraId="600A7F5D"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0.020＜SP2＜0.030</w:t>
            </w:r>
          </w:p>
        </w:tc>
        <w:tc>
          <w:tcPr>
            <w:tcW w:w="1354" w:type="pct"/>
            <w:noWrap/>
            <w:vAlign w:val="center"/>
          </w:tcPr>
          <w:p w14:paraId="0DC5025B"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（0.030-SP2）×10000</w:t>
            </w:r>
          </w:p>
        </w:tc>
        <w:tc>
          <w:tcPr>
            <w:tcW w:w="592" w:type="pct"/>
            <w:noWrap/>
            <w:vAlign w:val="center"/>
          </w:tcPr>
          <w:p w14:paraId="59F8224B"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≥0.030</w:t>
            </w:r>
          </w:p>
        </w:tc>
        <w:tc>
          <w:tcPr>
            <w:tcW w:w="262" w:type="pct"/>
            <w:noWrap/>
            <w:vAlign w:val="center"/>
          </w:tcPr>
          <w:p w14:paraId="1F486ACB"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r w:rsidR="007C232A" w:rsidRPr="00D239B2" w14:paraId="76E85A57" w14:textId="77777777" w:rsidTr="00BE3272">
        <w:trPr>
          <w:trHeight w:val="286"/>
        </w:trPr>
        <w:tc>
          <w:tcPr>
            <w:tcW w:w="339" w:type="pct"/>
            <w:noWrap/>
            <w:vAlign w:val="center"/>
          </w:tcPr>
          <w:p w14:paraId="7F81D654"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SP5</w:t>
            </w:r>
          </w:p>
        </w:tc>
        <w:tc>
          <w:tcPr>
            <w:tcW w:w="338" w:type="pct"/>
            <w:noWrap/>
            <w:vAlign w:val="center"/>
          </w:tcPr>
          <w:p w14:paraId="33085000"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0.10</w:t>
            </w:r>
          </w:p>
        </w:tc>
        <w:tc>
          <w:tcPr>
            <w:tcW w:w="593" w:type="pct"/>
            <w:noWrap/>
            <w:vAlign w:val="center"/>
          </w:tcPr>
          <w:p w14:paraId="60F1D0A9"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≤0.025</w:t>
            </w:r>
          </w:p>
        </w:tc>
        <w:tc>
          <w:tcPr>
            <w:tcW w:w="338" w:type="pct"/>
            <w:noWrap/>
            <w:vAlign w:val="center"/>
          </w:tcPr>
          <w:p w14:paraId="37DEDA3B"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noWrap/>
            <w:vAlign w:val="center"/>
          </w:tcPr>
          <w:p w14:paraId="7B66E66B"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0.025＜SP5＜0.035</w:t>
            </w:r>
          </w:p>
        </w:tc>
        <w:tc>
          <w:tcPr>
            <w:tcW w:w="1354" w:type="pct"/>
            <w:noWrap/>
            <w:vAlign w:val="center"/>
          </w:tcPr>
          <w:p w14:paraId="35A280AC"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（0.035-SP5）×10000</w:t>
            </w:r>
          </w:p>
        </w:tc>
        <w:tc>
          <w:tcPr>
            <w:tcW w:w="592" w:type="pct"/>
            <w:noWrap/>
            <w:vAlign w:val="center"/>
          </w:tcPr>
          <w:p w14:paraId="362F0C3E"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≥0.035</w:t>
            </w:r>
          </w:p>
        </w:tc>
        <w:tc>
          <w:tcPr>
            <w:tcW w:w="262" w:type="pct"/>
            <w:noWrap/>
            <w:vAlign w:val="center"/>
          </w:tcPr>
          <w:p w14:paraId="45F5847C"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r w:rsidR="007C232A" w:rsidRPr="00D239B2" w14:paraId="356D5752" w14:textId="77777777" w:rsidTr="00BE3272">
        <w:trPr>
          <w:trHeight w:val="286"/>
        </w:trPr>
        <w:tc>
          <w:tcPr>
            <w:tcW w:w="339" w:type="pct"/>
            <w:noWrap/>
            <w:vAlign w:val="center"/>
          </w:tcPr>
          <w:p w14:paraId="4ADEBEE1"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FRI</w:t>
            </w:r>
          </w:p>
        </w:tc>
        <w:tc>
          <w:tcPr>
            <w:tcW w:w="338" w:type="pct"/>
            <w:noWrap/>
            <w:vAlign w:val="center"/>
          </w:tcPr>
          <w:p w14:paraId="5E4DA091"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0.10</w:t>
            </w:r>
          </w:p>
        </w:tc>
        <w:tc>
          <w:tcPr>
            <w:tcW w:w="593" w:type="pct"/>
            <w:noWrap/>
            <w:vAlign w:val="center"/>
          </w:tcPr>
          <w:p w14:paraId="6315CAEB"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5.0E-4</w:t>
            </w:r>
          </w:p>
        </w:tc>
        <w:tc>
          <w:tcPr>
            <w:tcW w:w="338" w:type="pct"/>
            <w:noWrap/>
            <w:vAlign w:val="center"/>
          </w:tcPr>
          <w:p w14:paraId="561676F5"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noWrap/>
            <w:vAlign w:val="center"/>
          </w:tcPr>
          <w:p w14:paraId="36DE69D3" w14:textId="77777777" w:rsidR="007C232A" w:rsidRPr="00D239B2" w:rsidRDefault="007C232A" w:rsidP="00BE3272">
            <w:pPr>
              <w:widowControl/>
              <w:jc w:val="left"/>
              <w:rPr>
                <w:rFonts w:asciiTheme="minorEastAsia" w:eastAsiaTheme="minorEastAsia" w:hAnsiTheme="minorEastAsia"/>
                <w:kern w:val="0"/>
                <w:sz w:val="24"/>
                <w:szCs w:val="24"/>
              </w:rPr>
            </w:pPr>
            <w:r w:rsidRPr="00D239B2">
              <w:rPr>
                <w:rFonts w:asciiTheme="minorEastAsia" w:eastAsiaTheme="minorEastAsia" w:hAnsiTheme="minorEastAsia" w:hint="eastAsia"/>
                <w:kern w:val="0"/>
                <w:sz w:val="24"/>
                <w:szCs w:val="24"/>
              </w:rPr>
              <w:t>5.0E-4＜FRI＜0.005</w:t>
            </w:r>
          </w:p>
        </w:tc>
        <w:tc>
          <w:tcPr>
            <w:tcW w:w="1354" w:type="pct"/>
            <w:noWrap/>
            <w:vAlign w:val="center"/>
          </w:tcPr>
          <w:p w14:paraId="0D8E8ECF"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0.005-FRI</w:t>
            </w: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22222.22</w:t>
            </w:r>
          </w:p>
        </w:tc>
        <w:tc>
          <w:tcPr>
            <w:tcW w:w="592" w:type="pct"/>
            <w:noWrap/>
            <w:vAlign w:val="center"/>
          </w:tcPr>
          <w:p w14:paraId="310955CB"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0.005</w:t>
            </w:r>
          </w:p>
        </w:tc>
        <w:tc>
          <w:tcPr>
            <w:tcW w:w="262" w:type="pct"/>
            <w:noWrap/>
            <w:vAlign w:val="center"/>
          </w:tcPr>
          <w:p w14:paraId="4E2D283C"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r w:rsidR="007C232A" w:rsidRPr="00D239B2" w14:paraId="4D943670" w14:textId="77777777" w:rsidTr="00BE3272">
        <w:trPr>
          <w:trHeight w:val="286"/>
        </w:trPr>
        <w:tc>
          <w:tcPr>
            <w:tcW w:w="339" w:type="pct"/>
            <w:noWrap/>
            <w:vAlign w:val="center"/>
          </w:tcPr>
          <w:p w14:paraId="3EBBB03E"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CPI</w:t>
            </w:r>
          </w:p>
        </w:tc>
        <w:tc>
          <w:tcPr>
            <w:tcW w:w="338" w:type="pct"/>
            <w:noWrap/>
            <w:vAlign w:val="center"/>
          </w:tcPr>
          <w:p w14:paraId="416510FE"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0.05</w:t>
            </w:r>
          </w:p>
        </w:tc>
        <w:tc>
          <w:tcPr>
            <w:tcW w:w="593" w:type="pct"/>
            <w:noWrap/>
            <w:vAlign w:val="center"/>
          </w:tcPr>
          <w:p w14:paraId="5D49AB46"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1.01</w:t>
            </w:r>
          </w:p>
        </w:tc>
        <w:tc>
          <w:tcPr>
            <w:tcW w:w="338" w:type="pct"/>
            <w:noWrap/>
            <w:vAlign w:val="center"/>
          </w:tcPr>
          <w:p w14:paraId="6E3C95D0"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noWrap/>
            <w:vAlign w:val="center"/>
          </w:tcPr>
          <w:p w14:paraId="254C304B" w14:textId="77777777" w:rsidR="007C232A" w:rsidRPr="00D239B2" w:rsidRDefault="007C232A" w:rsidP="00BE3272">
            <w:pPr>
              <w:widowControl/>
              <w:jc w:val="left"/>
              <w:rPr>
                <w:rFonts w:asciiTheme="minorEastAsia" w:eastAsiaTheme="minorEastAsia" w:hAnsiTheme="minorEastAsia"/>
                <w:kern w:val="0"/>
                <w:sz w:val="24"/>
                <w:szCs w:val="24"/>
              </w:rPr>
            </w:pPr>
            <w:r w:rsidRPr="00D239B2">
              <w:rPr>
                <w:rFonts w:asciiTheme="minorEastAsia" w:eastAsiaTheme="minorEastAsia" w:hAnsiTheme="minorEastAsia" w:hint="eastAsia"/>
                <w:kern w:val="0"/>
                <w:sz w:val="24"/>
                <w:szCs w:val="24"/>
              </w:rPr>
              <w:t>1.01＜CPI＜1.2</w:t>
            </w:r>
          </w:p>
        </w:tc>
        <w:tc>
          <w:tcPr>
            <w:tcW w:w="1354" w:type="pct"/>
            <w:noWrap/>
            <w:vAlign w:val="center"/>
          </w:tcPr>
          <w:p w14:paraId="76E57E17"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1.2-CPI</w:t>
            </w: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526.32</w:t>
            </w:r>
          </w:p>
        </w:tc>
        <w:tc>
          <w:tcPr>
            <w:tcW w:w="592" w:type="pct"/>
            <w:noWrap/>
            <w:vAlign w:val="center"/>
          </w:tcPr>
          <w:p w14:paraId="5D23382F"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1.2</w:t>
            </w:r>
          </w:p>
        </w:tc>
        <w:tc>
          <w:tcPr>
            <w:tcW w:w="262" w:type="pct"/>
            <w:noWrap/>
            <w:vAlign w:val="center"/>
          </w:tcPr>
          <w:p w14:paraId="2B2F386B"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r w:rsidR="007C232A" w:rsidRPr="00D239B2" w14:paraId="7322CB59" w14:textId="77777777" w:rsidTr="00BE3272">
        <w:trPr>
          <w:trHeight w:val="286"/>
        </w:trPr>
        <w:tc>
          <w:tcPr>
            <w:tcW w:w="339" w:type="pct"/>
            <w:tcBorders>
              <w:bottom w:val="single" w:sz="4" w:space="0" w:color="auto"/>
            </w:tcBorders>
            <w:noWrap/>
            <w:vAlign w:val="center"/>
          </w:tcPr>
          <w:p w14:paraId="49F95129"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lastRenderedPageBreak/>
              <w:t>CRE</w:t>
            </w:r>
          </w:p>
        </w:tc>
        <w:tc>
          <w:tcPr>
            <w:tcW w:w="338" w:type="pct"/>
            <w:tcBorders>
              <w:bottom w:val="single" w:sz="4" w:space="0" w:color="auto"/>
            </w:tcBorders>
            <w:noWrap/>
            <w:vAlign w:val="center"/>
          </w:tcPr>
          <w:p w14:paraId="7CAB7000"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0.10</w:t>
            </w:r>
          </w:p>
        </w:tc>
        <w:tc>
          <w:tcPr>
            <w:tcW w:w="593" w:type="pct"/>
            <w:tcBorders>
              <w:bottom w:val="single" w:sz="4" w:space="0" w:color="auto"/>
            </w:tcBorders>
            <w:noWrap/>
            <w:vAlign w:val="center"/>
          </w:tcPr>
          <w:p w14:paraId="57F4B599"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60</w:t>
            </w:r>
          </w:p>
        </w:tc>
        <w:tc>
          <w:tcPr>
            <w:tcW w:w="338" w:type="pct"/>
            <w:tcBorders>
              <w:bottom w:val="single" w:sz="4" w:space="0" w:color="auto"/>
            </w:tcBorders>
            <w:noWrap/>
            <w:vAlign w:val="center"/>
          </w:tcPr>
          <w:p w14:paraId="61E78353"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100</w:t>
            </w:r>
          </w:p>
        </w:tc>
        <w:tc>
          <w:tcPr>
            <w:tcW w:w="1184" w:type="pct"/>
            <w:tcBorders>
              <w:bottom w:val="single" w:sz="4" w:space="0" w:color="auto"/>
            </w:tcBorders>
            <w:noWrap/>
            <w:vAlign w:val="center"/>
          </w:tcPr>
          <w:p w14:paraId="09A5F1B4" w14:textId="77777777" w:rsidR="007C232A" w:rsidRPr="00D239B2" w:rsidRDefault="007C232A" w:rsidP="00BE3272">
            <w:pPr>
              <w:widowControl/>
              <w:jc w:val="left"/>
              <w:rPr>
                <w:rFonts w:asciiTheme="minorEastAsia" w:eastAsiaTheme="minorEastAsia" w:hAnsiTheme="minorEastAsia"/>
                <w:kern w:val="0"/>
                <w:sz w:val="24"/>
                <w:szCs w:val="24"/>
              </w:rPr>
            </w:pPr>
            <w:r w:rsidRPr="00D239B2">
              <w:rPr>
                <w:rFonts w:asciiTheme="minorEastAsia" w:eastAsiaTheme="minorEastAsia" w:hAnsiTheme="minorEastAsia" w:hint="eastAsia"/>
                <w:kern w:val="0"/>
                <w:sz w:val="24"/>
                <w:szCs w:val="24"/>
              </w:rPr>
              <w:t>60＜CREP＜120</w:t>
            </w:r>
          </w:p>
        </w:tc>
        <w:tc>
          <w:tcPr>
            <w:tcW w:w="1354" w:type="pct"/>
            <w:tcBorders>
              <w:bottom w:val="single" w:sz="4" w:space="0" w:color="auto"/>
            </w:tcBorders>
            <w:noWrap/>
            <w:vAlign w:val="center"/>
          </w:tcPr>
          <w:p w14:paraId="3E36451B"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120-CREP</w:t>
            </w: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1.66667</w:t>
            </w:r>
          </w:p>
        </w:tc>
        <w:tc>
          <w:tcPr>
            <w:tcW w:w="592" w:type="pct"/>
            <w:tcBorders>
              <w:bottom w:val="single" w:sz="4" w:space="0" w:color="auto"/>
            </w:tcBorders>
            <w:noWrap/>
            <w:vAlign w:val="center"/>
          </w:tcPr>
          <w:p w14:paraId="4305F7EC" w14:textId="77777777" w:rsidR="007C232A" w:rsidRPr="00D239B2" w:rsidRDefault="007C232A" w:rsidP="00BE3272">
            <w:pPr>
              <w:widowControl/>
              <w:jc w:val="left"/>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w:t>
            </w:r>
            <w:r w:rsidRPr="00D239B2">
              <w:rPr>
                <w:rFonts w:asciiTheme="minorEastAsia" w:eastAsiaTheme="minorEastAsia" w:hAnsiTheme="minorEastAsia" w:hint="eastAsia"/>
                <w:kern w:val="0"/>
                <w:sz w:val="24"/>
                <w:szCs w:val="24"/>
              </w:rPr>
              <w:t>120</w:t>
            </w:r>
          </w:p>
        </w:tc>
        <w:tc>
          <w:tcPr>
            <w:tcW w:w="262" w:type="pct"/>
            <w:tcBorders>
              <w:bottom w:val="single" w:sz="4" w:space="0" w:color="auto"/>
            </w:tcBorders>
            <w:noWrap/>
            <w:vAlign w:val="center"/>
          </w:tcPr>
          <w:p w14:paraId="5704EDC7" w14:textId="77777777" w:rsidR="007C232A" w:rsidRPr="00D239B2" w:rsidRDefault="007C232A" w:rsidP="00BE3272">
            <w:pPr>
              <w:widowControl/>
              <w:jc w:val="center"/>
              <w:rPr>
                <w:rFonts w:asciiTheme="minorEastAsia" w:eastAsiaTheme="minorEastAsia" w:hAnsiTheme="minorEastAsia" w:cs="Arial"/>
                <w:kern w:val="0"/>
                <w:sz w:val="24"/>
                <w:szCs w:val="24"/>
              </w:rPr>
            </w:pPr>
            <w:r w:rsidRPr="00D239B2">
              <w:rPr>
                <w:rFonts w:asciiTheme="minorEastAsia" w:eastAsiaTheme="minorEastAsia" w:hAnsiTheme="minorEastAsia" w:cs="Arial" w:hint="eastAsia"/>
                <w:kern w:val="0"/>
                <w:sz w:val="24"/>
                <w:szCs w:val="24"/>
              </w:rPr>
              <w:t>0</w:t>
            </w:r>
          </w:p>
        </w:tc>
      </w:tr>
    </w:tbl>
    <w:p w14:paraId="18E0104B" w14:textId="77777777" w:rsidR="007C232A" w:rsidRPr="00F43C7F" w:rsidRDefault="007C232A" w:rsidP="00F43C7F">
      <w:pPr>
        <w:pStyle w:val="a3"/>
        <w:spacing w:line="580" w:lineRule="exact"/>
        <w:ind w:firstLine="560"/>
        <w:rPr>
          <w:rFonts w:ascii="仿宋_GB2312" w:eastAsia="仿宋_GB2312"/>
          <w:sz w:val="28"/>
          <w:szCs w:val="24"/>
          <w:lang w:val="en-GB"/>
        </w:rPr>
      </w:pPr>
      <w:r w:rsidRPr="00F43C7F">
        <w:rPr>
          <w:rFonts w:ascii="仿宋_GB2312" w:eastAsia="仿宋_GB2312" w:hAnsi="宋体" w:hint="eastAsia"/>
          <w:sz w:val="28"/>
          <w:szCs w:val="24"/>
          <w:lang w:val="en-GB"/>
        </w:rPr>
        <w:t>其中，上表中FRI单位为</w:t>
      </w:r>
      <w:r w:rsidRPr="00F43C7F">
        <w:rPr>
          <w:rFonts w:ascii="仿宋_GB2312" w:eastAsia="仿宋_GB2312" w:hint="eastAsia"/>
          <w:sz w:val="28"/>
          <w:szCs w:val="24"/>
          <w:lang w:val="en-GB"/>
        </w:rPr>
        <w:t>µ</w:t>
      </w:r>
      <w:r w:rsidRPr="00F43C7F">
        <w:rPr>
          <w:rFonts w:ascii="仿宋_GB2312" w:eastAsia="仿宋_GB2312" w:hAnsi="宋体" w:hint="eastAsia"/>
          <w:sz w:val="28"/>
          <w:szCs w:val="24"/>
          <w:lang w:val="en-GB"/>
        </w:rPr>
        <w:t>Ci/g、CRE单位为人</w:t>
      </w:r>
      <w:r w:rsidRPr="00F43C7F">
        <w:rPr>
          <w:rFonts w:ascii="宋体" w:hAnsi="宋体" w:cs="宋体" w:hint="eastAsia"/>
          <w:sz w:val="28"/>
          <w:szCs w:val="24"/>
          <w:lang w:val="en-GB"/>
        </w:rPr>
        <w:t>•</w:t>
      </w:r>
      <w:r w:rsidRPr="00F43C7F">
        <w:rPr>
          <w:rFonts w:ascii="仿宋_GB2312" w:eastAsia="仿宋_GB2312" w:hAnsi="宋体" w:hint="eastAsia"/>
          <w:sz w:val="28"/>
          <w:szCs w:val="24"/>
          <w:lang w:val="en-GB"/>
        </w:rPr>
        <w:t>rem。（1</w:t>
      </w:r>
      <w:r w:rsidRPr="00F43C7F">
        <w:rPr>
          <w:rFonts w:ascii="仿宋_GB2312" w:eastAsia="仿宋_GB2312" w:hint="eastAsia"/>
          <w:sz w:val="28"/>
          <w:szCs w:val="24"/>
          <w:lang w:val="en-GB"/>
        </w:rPr>
        <w:t>µ</w:t>
      </w:r>
      <w:r w:rsidRPr="00F43C7F">
        <w:rPr>
          <w:rFonts w:ascii="仿宋_GB2312" w:eastAsia="仿宋_GB2312" w:hAnsi="宋体" w:hint="eastAsia"/>
          <w:sz w:val="28"/>
          <w:szCs w:val="24"/>
          <w:lang w:val="en-GB"/>
        </w:rPr>
        <w:t>Ci/g=3.7E+4Bg/g，1人</w:t>
      </w:r>
      <w:r w:rsidRPr="00F43C7F">
        <w:rPr>
          <w:rFonts w:ascii="宋体" w:hAnsi="宋体" w:cs="宋体" w:hint="eastAsia"/>
          <w:sz w:val="28"/>
          <w:szCs w:val="24"/>
          <w:lang w:val="en-GB"/>
        </w:rPr>
        <w:t>•</w:t>
      </w:r>
      <w:r w:rsidRPr="00F43C7F">
        <w:rPr>
          <w:rFonts w:ascii="仿宋_GB2312" w:eastAsia="仿宋_GB2312" w:hAnsi="宋体" w:hint="eastAsia"/>
          <w:sz w:val="28"/>
          <w:szCs w:val="24"/>
          <w:lang w:val="en-GB"/>
        </w:rPr>
        <w:t>rem=0.01人</w:t>
      </w:r>
      <w:r w:rsidRPr="00F43C7F">
        <w:rPr>
          <w:rFonts w:ascii="宋体" w:hAnsi="宋体" w:cs="宋体" w:hint="eastAsia"/>
          <w:sz w:val="28"/>
          <w:szCs w:val="24"/>
          <w:lang w:val="en-GB"/>
        </w:rPr>
        <w:t>•</w:t>
      </w:r>
      <w:proofErr w:type="spellStart"/>
      <w:r w:rsidRPr="00F43C7F">
        <w:rPr>
          <w:rFonts w:ascii="仿宋_GB2312" w:eastAsia="仿宋_GB2312" w:hAnsi="宋体" w:hint="eastAsia"/>
          <w:sz w:val="28"/>
          <w:szCs w:val="24"/>
          <w:lang w:val="en-GB"/>
        </w:rPr>
        <w:t>Sv</w:t>
      </w:r>
      <w:proofErr w:type="spellEnd"/>
      <w:r w:rsidRPr="00F43C7F">
        <w:rPr>
          <w:rFonts w:ascii="仿宋_GB2312" w:eastAsia="仿宋_GB2312" w:hAnsi="宋体" w:hint="eastAsia"/>
          <w:sz w:val="28"/>
          <w:szCs w:val="24"/>
          <w:lang w:val="en-GB"/>
        </w:rPr>
        <w:t>）</w:t>
      </w:r>
    </w:p>
    <w:p w14:paraId="66DDC391" w14:textId="77777777" w:rsidR="007C232A" w:rsidRPr="007B0772" w:rsidRDefault="007B0772" w:rsidP="007B0772">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（一）</w:t>
      </w:r>
      <w:r w:rsidR="007C232A" w:rsidRPr="007B0772">
        <w:rPr>
          <w:rFonts w:ascii="仿宋_GB2312" w:eastAsia="仿宋_GB2312" w:hAnsi="宋体" w:hint="eastAsia"/>
          <w:sz w:val="32"/>
          <w:szCs w:val="32"/>
          <w:lang w:val="en-GB"/>
        </w:rPr>
        <w:t>统计频度与序列：</w:t>
      </w:r>
      <w:r w:rsidR="007C232A" w:rsidRPr="007B0772">
        <w:rPr>
          <w:rFonts w:ascii="仿宋_GB2312" w:eastAsia="仿宋_GB2312" w:hAnsi="宋体"/>
          <w:sz w:val="32"/>
          <w:szCs w:val="32"/>
          <w:lang w:val="en-GB"/>
        </w:rPr>
        <w:t>WANO</w:t>
      </w:r>
      <w:proofErr w:type="gramStart"/>
      <w:r w:rsidR="007C232A" w:rsidRPr="007B0772">
        <w:rPr>
          <w:rFonts w:ascii="仿宋_GB2312" w:eastAsia="仿宋_GB2312" w:hAnsi="宋体" w:hint="eastAsia"/>
          <w:sz w:val="32"/>
          <w:szCs w:val="32"/>
          <w:lang w:val="en-GB"/>
        </w:rPr>
        <w:t>官网按</w:t>
      </w:r>
      <w:proofErr w:type="gramEnd"/>
      <w:r w:rsidR="007C232A" w:rsidRPr="007B0772">
        <w:rPr>
          <w:rFonts w:ascii="仿宋_GB2312" w:eastAsia="仿宋_GB2312" w:hAnsi="宋体" w:hint="eastAsia"/>
          <w:sz w:val="32"/>
          <w:szCs w:val="32"/>
          <w:lang w:val="en-GB"/>
        </w:rPr>
        <w:t>季度统计和发布，最小统计序列为机组，机组平均值为电厂值。</w:t>
      </w:r>
    </w:p>
    <w:p w14:paraId="64A485F6" w14:textId="77777777" w:rsidR="007C232A" w:rsidRPr="007B0772" w:rsidRDefault="007B0772" w:rsidP="007B0772">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（二）</w:t>
      </w:r>
      <w:r w:rsidR="007C232A" w:rsidRPr="007B0772">
        <w:rPr>
          <w:rFonts w:ascii="仿宋_GB2312" w:eastAsia="仿宋_GB2312" w:hAnsi="宋体" w:hint="eastAsia"/>
          <w:sz w:val="32"/>
          <w:szCs w:val="32"/>
          <w:lang w:val="en-GB"/>
        </w:rPr>
        <w:t>统计说明：</w:t>
      </w:r>
    </w:p>
    <w:p w14:paraId="16B42AFA" w14:textId="77777777" w:rsidR="007C232A" w:rsidRPr="007B0772" w:rsidRDefault="007B0772" w:rsidP="007B0772">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1.</w:t>
      </w:r>
      <w:r w:rsidR="007C232A" w:rsidRPr="007B0772">
        <w:rPr>
          <w:rFonts w:ascii="仿宋_GB2312" w:eastAsia="仿宋_GB2312" w:hAnsi="宋体" w:hint="eastAsia"/>
          <w:sz w:val="32"/>
          <w:szCs w:val="32"/>
          <w:lang w:val="en-GB"/>
        </w:rPr>
        <w:t>有效指标的最低数量：计算综合指数时，有效的指标至少要有</w:t>
      </w:r>
      <w:r w:rsidR="007C232A" w:rsidRPr="007B0772">
        <w:rPr>
          <w:rFonts w:ascii="仿宋_GB2312" w:eastAsia="仿宋_GB2312" w:hAnsi="宋体"/>
          <w:sz w:val="32"/>
          <w:szCs w:val="32"/>
          <w:lang w:val="en-GB"/>
        </w:rPr>
        <w:t>5</w:t>
      </w:r>
      <w:r w:rsidR="007C232A" w:rsidRPr="007B0772">
        <w:rPr>
          <w:rFonts w:ascii="仿宋_GB2312" w:eastAsia="仿宋_GB2312" w:hAnsi="宋体" w:hint="eastAsia"/>
          <w:sz w:val="32"/>
          <w:szCs w:val="32"/>
          <w:lang w:val="en-GB"/>
        </w:rPr>
        <w:t>个（安全系统性能指标看作一个指标，三个系统中至少要有一个系统的指标可用才认为安全系统性能指标有效）。</w:t>
      </w:r>
    </w:p>
    <w:p w14:paraId="18E16EEC" w14:textId="77777777" w:rsidR="007C232A" w:rsidRPr="007B0772" w:rsidRDefault="00D3082F" w:rsidP="007B0772">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2.</w:t>
      </w:r>
      <w:r w:rsidR="007C232A" w:rsidRPr="007B0772">
        <w:rPr>
          <w:rFonts w:ascii="仿宋_GB2312" w:eastAsia="仿宋_GB2312" w:hAnsi="宋体" w:hint="eastAsia"/>
          <w:sz w:val="32"/>
          <w:szCs w:val="32"/>
          <w:lang w:val="en-GB"/>
        </w:rPr>
        <w:t>个别指标</w:t>
      </w:r>
      <w:proofErr w:type="gramStart"/>
      <w:r w:rsidR="007C232A" w:rsidRPr="007B0772">
        <w:rPr>
          <w:rFonts w:ascii="仿宋_GB2312" w:eastAsia="仿宋_GB2312" w:hAnsi="宋体" w:hint="eastAsia"/>
          <w:sz w:val="32"/>
          <w:szCs w:val="32"/>
          <w:lang w:val="en-GB"/>
        </w:rPr>
        <w:t>不</w:t>
      </w:r>
      <w:proofErr w:type="gramEnd"/>
      <w:r w:rsidR="007C232A" w:rsidRPr="007B0772">
        <w:rPr>
          <w:rFonts w:ascii="仿宋_GB2312" w:eastAsia="仿宋_GB2312" w:hAnsi="宋体" w:hint="eastAsia"/>
          <w:sz w:val="32"/>
          <w:szCs w:val="32"/>
          <w:lang w:val="en-GB"/>
        </w:rPr>
        <w:t>可用时的处理：如果在计算综合指数时，有个别指标</w:t>
      </w:r>
      <w:proofErr w:type="gramStart"/>
      <w:r w:rsidR="007C232A" w:rsidRPr="007B0772">
        <w:rPr>
          <w:rFonts w:ascii="仿宋_GB2312" w:eastAsia="仿宋_GB2312" w:hAnsi="宋体" w:hint="eastAsia"/>
          <w:sz w:val="32"/>
          <w:szCs w:val="32"/>
          <w:lang w:val="en-GB"/>
        </w:rPr>
        <w:t>不</w:t>
      </w:r>
      <w:proofErr w:type="gramEnd"/>
      <w:r w:rsidR="007C232A" w:rsidRPr="007B0772">
        <w:rPr>
          <w:rFonts w:ascii="仿宋_GB2312" w:eastAsia="仿宋_GB2312" w:hAnsi="宋体" w:hint="eastAsia"/>
          <w:sz w:val="32"/>
          <w:szCs w:val="32"/>
          <w:lang w:val="en-GB"/>
        </w:rPr>
        <w:t>可用，必须对综合指数进行归一化处理。归一化后的综合指数＝综合指数</w:t>
      </w:r>
      <w:r w:rsidR="007C232A" w:rsidRPr="007B0772">
        <w:rPr>
          <w:rFonts w:ascii="仿宋_GB2312" w:eastAsia="仿宋_GB2312" w:hAnsi="宋体"/>
          <w:sz w:val="32"/>
          <w:szCs w:val="32"/>
          <w:lang w:val="en-GB"/>
        </w:rPr>
        <w:t>/</w:t>
      </w:r>
      <w:r w:rsidR="007C232A" w:rsidRPr="007B0772">
        <w:rPr>
          <w:rFonts w:ascii="仿宋_GB2312" w:eastAsia="仿宋_GB2312" w:hAnsi="宋体" w:hint="eastAsia"/>
          <w:sz w:val="32"/>
          <w:szCs w:val="32"/>
          <w:lang w:val="en-GB"/>
        </w:rPr>
        <w:t>（</w:t>
      </w:r>
      <w:r w:rsidR="007C232A" w:rsidRPr="007B0772">
        <w:rPr>
          <w:rFonts w:ascii="仿宋_GB2312" w:eastAsia="仿宋_GB2312" w:hAnsi="宋体"/>
          <w:sz w:val="32"/>
          <w:szCs w:val="32"/>
          <w:lang w:val="en-GB"/>
        </w:rPr>
        <w:t>1</w:t>
      </w:r>
      <w:r w:rsidR="007C232A" w:rsidRPr="007B0772">
        <w:rPr>
          <w:rFonts w:ascii="仿宋_GB2312" w:eastAsia="仿宋_GB2312" w:hAnsi="宋体" w:hint="eastAsia"/>
          <w:sz w:val="32"/>
          <w:szCs w:val="32"/>
          <w:lang w:val="en-GB"/>
        </w:rPr>
        <w:t>－</w:t>
      </w:r>
      <w:proofErr w:type="gramStart"/>
      <w:r w:rsidR="007C232A" w:rsidRPr="007B0772">
        <w:rPr>
          <w:rFonts w:ascii="仿宋_GB2312" w:eastAsia="仿宋_GB2312" w:hAnsi="宋体" w:hint="eastAsia"/>
          <w:sz w:val="32"/>
          <w:szCs w:val="32"/>
          <w:lang w:val="en-GB"/>
        </w:rPr>
        <w:t>不</w:t>
      </w:r>
      <w:proofErr w:type="gramEnd"/>
      <w:r w:rsidR="007C232A" w:rsidRPr="007B0772">
        <w:rPr>
          <w:rFonts w:ascii="仿宋_GB2312" w:eastAsia="仿宋_GB2312" w:hAnsi="宋体" w:hint="eastAsia"/>
          <w:sz w:val="32"/>
          <w:szCs w:val="32"/>
          <w:lang w:val="en-GB"/>
        </w:rPr>
        <w:t>可用指标的权重系数之和），例如：机组的综合指数在归一化前为</w:t>
      </w:r>
      <w:r w:rsidR="007C232A" w:rsidRPr="007B0772">
        <w:rPr>
          <w:rFonts w:ascii="仿宋_GB2312" w:eastAsia="仿宋_GB2312" w:hAnsi="宋体"/>
          <w:sz w:val="32"/>
          <w:szCs w:val="32"/>
          <w:lang w:val="en-GB"/>
        </w:rPr>
        <w:t>56.0</w:t>
      </w:r>
      <w:r w:rsidR="007C232A" w:rsidRPr="007B0772">
        <w:rPr>
          <w:rFonts w:ascii="仿宋_GB2312" w:eastAsia="仿宋_GB2312" w:hAnsi="宋体" w:hint="eastAsia"/>
          <w:sz w:val="32"/>
          <w:szCs w:val="32"/>
          <w:lang w:val="en-GB"/>
        </w:rPr>
        <w:t>，计算中有一个权重系数为</w:t>
      </w:r>
      <w:r w:rsidR="007C232A" w:rsidRPr="007B0772">
        <w:rPr>
          <w:rFonts w:ascii="仿宋_GB2312" w:eastAsia="仿宋_GB2312" w:hAnsi="宋体"/>
          <w:sz w:val="32"/>
          <w:szCs w:val="32"/>
          <w:lang w:val="en-GB"/>
        </w:rPr>
        <w:t>0.08</w:t>
      </w:r>
      <w:r w:rsidR="007C232A" w:rsidRPr="007B0772">
        <w:rPr>
          <w:rFonts w:ascii="仿宋_GB2312" w:eastAsia="仿宋_GB2312" w:hAnsi="宋体" w:hint="eastAsia"/>
          <w:sz w:val="32"/>
          <w:szCs w:val="32"/>
          <w:lang w:val="en-GB"/>
        </w:rPr>
        <w:t>的指标</w:t>
      </w:r>
      <w:proofErr w:type="gramStart"/>
      <w:r w:rsidR="007C232A" w:rsidRPr="007B0772">
        <w:rPr>
          <w:rFonts w:ascii="仿宋_GB2312" w:eastAsia="仿宋_GB2312" w:hAnsi="宋体" w:hint="eastAsia"/>
          <w:sz w:val="32"/>
          <w:szCs w:val="32"/>
          <w:lang w:val="en-GB"/>
        </w:rPr>
        <w:t>不</w:t>
      </w:r>
      <w:proofErr w:type="gramEnd"/>
      <w:r w:rsidR="007C232A" w:rsidRPr="007B0772">
        <w:rPr>
          <w:rFonts w:ascii="仿宋_GB2312" w:eastAsia="仿宋_GB2312" w:hAnsi="宋体" w:hint="eastAsia"/>
          <w:sz w:val="32"/>
          <w:szCs w:val="32"/>
          <w:lang w:val="en-GB"/>
        </w:rPr>
        <w:t>可用，则归一化后的指数＝</w:t>
      </w:r>
      <w:r w:rsidR="007C232A" w:rsidRPr="007B0772">
        <w:rPr>
          <w:rFonts w:ascii="仿宋_GB2312" w:eastAsia="仿宋_GB2312" w:hAnsi="宋体"/>
          <w:sz w:val="32"/>
          <w:szCs w:val="32"/>
          <w:lang w:val="en-GB"/>
        </w:rPr>
        <w:t>56.0/</w:t>
      </w:r>
      <w:r w:rsidR="007C232A" w:rsidRPr="007B0772">
        <w:rPr>
          <w:rFonts w:ascii="仿宋_GB2312" w:eastAsia="仿宋_GB2312" w:hAnsi="宋体" w:hint="eastAsia"/>
          <w:sz w:val="32"/>
          <w:szCs w:val="32"/>
          <w:lang w:val="en-GB"/>
        </w:rPr>
        <w:t>（</w:t>
      </w:r>
      <w:r w:rsidR="007C232A" w:rsidRPr="007B0772">
        <w:rPr>
          <w:rFonts w:ascii="仿宋_GB2312" w:eastAsia="仿宋_GB2312" w:hAnsi="宋体"/>
          <w:sz w:val="32"/>
          <w:szCs w:val="32"/>
          <w:lang w:val="en-GB"/>
        </w:rPr>
        <w:t>1</w:t>
      </w:r>
      <w:r w:rsidR="007C232A" w:rsidRPr="007B0772">
        <w:rPr>
          <w:rFonts w:ascii="仿宋_GB2312" w:eastAsia="仿宋_GB2312" w:hAnsi="宋体" w:hint="eastAsia"/>
          <w:sz w:val="32"/>
          <w:szCs w:val="32"/>
          <w:lang w:val="en-GB"/>
        </w:rPr>
        <w:t>－</w:t>
      </w:r>
      <w:r w:rsidR="007C232A" w:rsidRPr="007B0772">
        <w:rPr>
          <w:rFonts w:ascii="仿宋_GB2312" w:eastAsia="仿宋_GB2312" w:hAnsi="宋体"/>
          <w:sz w:val="32"/>
          <w:szCs w:val="32"/>
          <w:lang w:val="en-GB"/>
        </w:rPr>
        <w:t>0.08</w:t>
      </w:r>
      <w:r w:rsidR="007C232A" w:rsidRPr="007B0772">
        <w:rPr>
          <w:rFonts w:ascii="仿宋_GB2312" w:eastAsia="仿宋_GB2312" w:hAnsi="宋体" w:hint="eastAsia"/>
          <w:sz w:val="32"/>
          <w:szCs w:val="32"/>
          <w:lang w:val="en-GB"/>
        </w:rPr>
        <w:t>）＝</w:t>
      </w:r>
      <w:r w:rsidR="007C232A" w:rsidRPr="007B0772">
        <w:rPr>
          <w:rFonts w:ascii="仿宋_GB2312" w:eastAsia="仿宋_GB2312" w:hAnsi="宋体"/>
          <w:sz w:val="32"/>
          <w:szCs w:val="32"/>
          <w:lang w:val="en-GB"/>
        </w:rPr>
        <w:t>60.9</w:t>
      </w:r>
    </w:p>
    <w:p w14:paraId="1B690CC2" w14:textId="77777777" w:rsidR="007C232A" w:rsidRPr="007B0772" w:rsidRDefault="00D3082F" w:rsidP="007B0772">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3.</w:t>
      </w:r>
      <w:r w:rsidR="007C232A" w:rsidRPr="007B0772">
        <w:rPr>
          <w:rFonts w:ascii="仿宋_GB2312" w:eastAsia="仿宋_GB2312" w:hAnsi="宋体" w:hint="eastAsia"/>
          <w:sz w:val="32"/>
          <w:szCs w:val="32"/>
          <w:lang w:val="en-GB"/>
        </w:rPr>
        <w:t>个别采用电厂值的指标的处理：应急交流电系统是一个电厂值。在多机组电厂中，计算机组综合指数值时使用这两项指标的电厂值。</w:t>
      </w:r>
    </w:p>
    <w:p w14:paraId="281B2AB8" w14:textId="77777777" w:rsidR="007C232A" w:rsidRPr="007B0772" w:rsidRDefault="00D3082F" w:rsidP="007B0772">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4.</w:t>
      </w:r>
      <w:r w:rsidR="007C232A" w:rsidRPr="007B0772">
        <w:rPr>
          <w:rFonts w:ascii="仿宋_GB2312" w:eastAsia="仿宋_GB2312" w:hAnsi="宋体" w:hint="eastAsia"/>
          <w:sz w:val="32"/>
          <w:szCs w:val="32"/>
          <w:lang w:val="en-GB"/>
        </w:rPr>
        <w:t>多机组电厂的电厂综合指数值：电厂综合指数值是机组综合指数值的平均值。例如，一个两机组的电厂，机组综合指数值分别为</w:t>
      </w:r>
      <w:r w:rsidR="007C232A" w:rsidRPr="007B0772">
        <w:rPr>
          <w:rFonts w:ascii="仿宋_GB2312" w:eastAsia="仿宋_GB2312" w:hAnsi="宋体"/>
          <w:sz w:val="32"/>
          <w:szCs w:val="32"/>
          <w:lang w:val="en-GB"/>
        </w:rPr>
        <w:t>67.4</w:t>
      </w:r>
      <w:r w:rsidR="007C232A" w:rsidRPr="007B0772">
        <w:rPr>
          <w:rFonts w:ascii="仿宋_GB2312" w:eastAsia="仿宋_GB2312" w:hAnsi="宋体" w:hint="eastAsia"/>
          <w:sz w:val="32"/>
          <w:szCs w:val="32"/>
          <w:lang w:val="en-GB"/>
        </w:rPr>
        <w:t>和</w:t>
      </w:r>
      <w:r w:rsidR="007C232A" w:rsidRPr="007B0772">
        <w:rPr>
          <w:rFonts w:ascii="仿宋_GB2312" w:eastAsia="仿宋_GB2312" w:hAnsi="宋体"/>
          <w:sz w:val="32"/>
          <w:szCs w:val="32"/>
          <w:lang w:val="en-GB"/>
        </w:rPr>
        <w:t>53.8</w:t>
      </w:r>
      <w:r w:rsidR="007C232A" w:rsidRPr="007B0772">
        <w:rPr>
          <w:rFonts w:ascii="仿宋_GB2312" w:eastAsia="仿宋_GB2312" w:hAnsi="宋体" w:hint="eastAsia"/>
          <w:sz w:val="32"/>
          <w:szCs w:val="32"/>
          <w:lang w:val="en-GB"/>
        </w:rPr>
        <w:t>，则电厂综合指数值＝（</w:t>
      </w:r>
      <w:r w:rsidR="007C232A" w:rsidRPr="007B0772">
        <w:rPr>
          <w:rFonts w:ascii="仿宋_GB2312" w:eastAsia="仿宋_GB2312" w:hAnsi="宋体"/>
          <w:sz w:val="32"/>
          <w:szCs w:val="32"/>
          <w:lang w:val="en-GB"/>
        </w:rPr>
        <w:t>67.4</w:t>
      </w:r>
      <w:r w:rsidR="007C232A" w:rsidRPr="007B0772">
        <w:rPr>
          <w:rFonts w:ascii="仿宋_GB2312" w:eastAsia="仿宋_GB2312" w:hAnsi="宋体" w:hint="eastAsia"/>
          <w:sz w:val="32"/>
          <w:szCs w:val="32"/>
          <w:lang w:val="en-GB"/>
        </w:rPr>
        <w:lastRenderedPageBreak/>
        <w:t>＋</w:t>
      </w:r>
      <w:r w:rsidR="007C232A" w:rsidRPr="007B0772">
        <w:rPr>
          <w:rFonts w:ascii="仿宋_GB2312" w:eastAsia="仿宋_GB2312" w:hAnsi="宋体"/>
          <w:sz w:val="32"/>
          <w:szCs w:val="32"/>
          <w:lang w:val="en-GB"/>
        </w:rPr>
        <w:t>53.8</w:t>
      </w:r>
      <w:r w:rsidR="007C232A" w:rsidRPr="007B0772">
        <w:rPr>
          <w:rFonts w:ascii="仿宋_GB2312" w:eastAsia="仿宋_GB2312" w:hAnsi="宋体" w:hint="eastAsia"/>
          <w:sz w:val="32"/>
          <w:szCs w:val="32"/>
          <w:lang w:val="en-GB"/>
        </w:rPr>
        <w:t>）</w:t>
      </w:r>
      <w:r w:rsidR="007C232A" w:rsidRPr="007B0772">
        <w:rPr>
          <w:rFonts w:ascii="仿宋_GB2312" w:eastAsia="仿宋_GB2312" w:hAnsi="宋体"/>
          <w:sz w:val="32"/>
          <w:szCs w:val="32"/>
          <w:lang w:val="en-GB"/>
        </w:rPr>
        <w:t>/2</w:t>
      </w:r>
      <w:r w:rsidR="007C232A" w:rsidRPr="007B0772">
        <w:rPr>
          <w:rFonts w:ascii="仿宋_GB2312" w:eastAsia="仿宋_GB2312" w:hAnsi="宋体" w:hint="eastAsia"/>
          <w:sz w:val="32"/>
          <w:szCs w:val="32"/>
          <w:lang w:val="en-GB"/>
        </w:rPr>
        <w:t>＝</w:t>
      </w:r>
      <w:r w:rsidR="007C232A" w:rsidRPr="007B0772">
        <w:rPr>
          <w:rFonts w:ascii="仿宋_GB2312" w:eastAsia="仿宋_GB2312" w:hAnsi="宋体"/>
          <w:sz w:val="32"/>
          <w:szCs w:val="32"/>
          <w:lang w:val="en-GB"/>
        </w:rPr>
        <w:t>60.6</w:t>
      </w:r>
      <w:r w:rsidR="007C232A" w:rsidRPr="007B0772">
        <w:rPr>
          <w:rFonts w:ascii="仿宋_GB2312" w:eastAsia="仿宋_GB2312" w:hAnsi="宋体" w:hint="eastAsia"/>
          <w:sz w:val="32"/>
          <w:szCs w:val="32"/>
          <w:lang w:val="en-GB"/>
        </w:rPr>
        <w:t>。可以使用机组综合值来确定组织综合指数值。</w:t>
      </w:r>
    </w:p>
    <w:p w14:paraId="3542B02F" w14:textId="77777777" w:rsidR="007C232A" w:rsidRPr="007B0772" w:rsidRDefault="00D3082F" w:rsidP="007B0772">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5.</w:t>
      </w:r>
      <w:r w:rsidR="007C232A" w:rsidRPr="007B0772">
        <w:rPr>
          <w:rFonts w:ascii="仿宋_GB2312" w:eastAsia="仿宋_GB2312" w:hAnsi="宋体" w:hint="eastAsia"/>
          <w:sz w:val="32"/>
          <w:szCs w:val="32"/>
          <w:lang w:val="en-GB"/>
        </w:rPr>
        <w:t>单机组电厂的电厂综合指数值：对于单机组电厂，机组综合指数值就是电厂的综合指数值。</w:t>
      </w:r>
    </w:p>
    <w:p w14:paraId="5A6DBEA9" w14:textId="77777777" w:rsidR="007C232A" w:rsidRPr="007B0772" w:rsidRDefault="00D3082F" w:rsidP="00D239B2">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6.</w:t>
      </w:r>
      <w:r w:rsidR="007C232A" w:rsidRPr="007B0772">
        <w:rPr>
          <w:rFonts w:ascii="仿宋_GB2312" w:eastAsia="仿宋_GB2312" w:hAnsi="宋体" w:hint="eastAsia"/>
          <w:sz w:val="32"/>
          <w:szCs w:val="32"/>
          <w:lang w:val="en-GB"/>
        </w:rPr>
        <w:t>综合指数得满分的条件主要有如下几点：</w:t>
      </w:r>
    </w:p>
    <w:p w14:paraId="3F382D17" w14:textId="77777777" w:rsidR="007C232A" w:rsidRPr="007B0772" w:rsidRDefault="00D3082F" w:rsidP="007C1795">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（1）</w:t>
      </w:r>
      <w:r w:rsidR="007C232A" w:rsidRPr="007B0772">
        <w:rPr>
          <w:rFonts w:ascii="仿宋_GB2312" w:eastAsia="仿宋_GB2312" w:hAnsi="宋体"/>
          <w:sz w:val="32"/>
          <w:szCs w:val="32"/>
          <w:lang w:val="en-GB"/>
        </w:rPr>
        <w:t>18</w:t>
      </w:r>
      <w:r w:rsidR="007C232A" w:rsidRPr="007B0772">
        <w:rPr>
          <w:rFonts w:ascii="仿宋_GB2312" w:eastAsia="仿宋_GB2312" w:hAnsi="宋体" w:hint="eastAsia"/>
          <w:sz w:val="32"/>
          <w:szCs w:val="32"/>
          <w:lang w:val="en-GB"/>
        </w:rPr>
        <w:t>个月内大修不超约</w:t>
      </w:r>
      <w:r w:rsidR="007C232A" w:rsidRPr="007B0772">
        <w:rPr>
          <w:rFonts w:ascii="仿宋_GB2312" w:eastAsia="仿宋_GB2312" w:hAnsi="宋体"/>
          <w:sz w:val="32"/>
          <w:szCs w:val="32"/>
          <w:lang w:val="en-GB"/>
        </w:rPr>
        <w:t>40</w:t>
      </w:r>
      <w:r w:rsidR="007C232A" w:rsidRPr="007B0772">
        <w:rPr>
          <w:rFonts w:ascii="仿宋_GB2312" w:eastAsia="仿宋_GB2312" w:hAnsi="宋体" w:hint="eastAsia"/>
          <w:sz w:val="32"/>
          <w:szCs w:val="32"/>
          <w:lang w:val="en-GB"/>
        </w:rPr>
        <w:t>天或</w:t>
      </w:r>
      <w:r w:rsidR="007C232A" w:rsidRPr="007B0772">
        <w:rPr>
          <w:rFonts w:ascii="仿宋_GB2312" w:eastAsia="仿宋_GB2312" w:hAnsi="宋体"/>
          <w:sz w:val="32"/>
          <w:szCs w:val="32"/>
          <w:lang w:val="en-GB"/>
        </w:rPr>
        <w:t>24</w:t>
      </w:r>
      <w:r w:rsidR="007C232A" w:rsidRPr="007B0772">
        <w:rPr>
          <w:rFonts w:ascii="仿宋_GB2312" w:eastAsia="仿宋_GB2312" w:hAnsi="宋体" w:hint="eastAsia"/>
          <w:sz w:val="32"/>
          <w:szCs w:val="32"/>
          <w:lang w:val="en-GB"/>
        </w:rPr>
        <w:t>个月内不超约</w:t>
      </w:r>
      <w:r w:rsidR="007C232A" w:rsidRPr="007B0772">
        <w:rPr>
          <w:rFonts w:ascii="仿宋_GB2312" w:eastAsia="仿宋_GB2312" w:hAnsi="宋体"/>
          <w:sz w:val="32"/>
          <w:szCs w:val="32"/>
          <w:lang w:val="en-GB"/>
        </w:rPr>
        <w:t>55</w:t>
      </w:r>
      <w:r w:rsidR="007C232A" w:rsidRPr="007B0772">
        <w:rPr>
          <w:rFonts w:ascii="仿宋_GB2312" w:eastAsia="仿宋_GB2312" w:hAnsi="宋体" w:hint="eastAsia"/>
          <w:sz w:val="32"/>
          <w:szCs w:val="32"/>
          <w:lang w:val="en-GB"/>
        </w:rPr>
        <w:t>天</w:t>
      </w:r>
      <w:r w:rsidR="007C1795">
        <w:rPr>
          <w:rFonts w:ascii="仿宋_GB2312" w:eastAsia="仿宋_GB2312" w:hAnsi="宋体" w:hint="eastAsia"/>
          <w:sz w:val="32"/>
          <w:szCs w:val="32"/>
          <w:lang w:val="en-GB"/>
        </w:rPr>
        <w:t>；</w:t>
      </w:r>
    </w:p>
    <w:p w14:paraId="6926A112" w14:textId="77777777" w:rsidR="007C232A" w:rsidRPr="007B0772" w:rsidRDefault="00D3082F" w:rsidP="007C1795">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（2）</w:t>
      </w:r>
      <w:r w:rsidR="007C232A" w:rsidRPr="007B0772">
        <w:rPr>
          <w:rFonts w:ascii="仿宋_GB2312" w:eastAsia="仿宋_GB2312" w:hAnsi="宋体"/>
          <w:sz w:val="32"/>
          <w:szCs w:val="32"/>
          <w:lang w:val="en-GB"/>
        </w:rPr>
        <w:t>18</w:t>
      </w:r>
      <w:r w:rsidR="007C232A" w:rsidRPr="007B0772">
        <w:rPr>
          <w:rFonts w:ascii="仿宋_GB2312" w:eastAsia="仿宋_GB2312" w:hAnsi="宋体" w:hint="eastAsia"/>
          <w:sz w:val="32"/>
          <w:szCs w:val="32"/>
          <w:lang w:val="en-GB"/>
        </w:rPr>
        <w:t>个月内强迫损失不超约</w:t>
      </w:r>
      <w:r w:rsidR="007C232A" w:rsidRPr="007B0772">
        <w:rPr>
          <w:rFonts w:ascii="仿宋_GB2312" w:eastAsia="仿宋_GB2312" w:hAnsi="宋体"/>
          <w:sz w:val="32"/>
          <w:szCs w:val="32"/>
          <w:lang w:val="en-GB"/>
        </w:rPr>
        <w:t>5</w:t>
      </w:r>
      <w:r w:rsidR="007C232A" w:rsidRPr="007B0772">
        <w:rPr>
          <w:rFonts w:ascii="仿宋_GB2312" w:eastAsia="仿宋_GB2312" w:hAnsi="宋体" w:hint="eastAsia"/>
          <w:sz w:val="32"/>
          <w:szCs w:val="32"/>
          <w:lang w:val="en-GB"/>
        </w:rPr>
        <w:t>天或</w:t>
      </w:r>
      <w:r w:rsidR="007C232A" w:rsidRPr="007B0772">
        <w:rPr>
          <w:rFonts w:ascii="仿宋_GB2312" w:eastAsia="仿宋_GB2312" w:hAnsi="宋体"/>
          <w:sz w:val="32"/>
          <w:szCs w:val="32"/>
          <w:lang w:val="en-GB"/>
        </w:rPr>
        <w:t>24</w:t>
      </w:r>
      <w:r w:rsidR="007C232A" w:rsidRPr="007B0772">
        <w:rPr>
          <w:rFonts w:ascii="仿宋_GB2312" w:eastAsia="仿宋_GB2312" w:hAnsi="宋体" w:hint="eastAsia"/>
          <w:sz w:val="32"/>
          <w:szCs w:val="32"/>
          <w:lang w:val="en-GB"/>
        </w:rPr>
        <w:t>个月内不超约</w:t>
      </w:r>
      <w:r w:rsidR="007C232A" w:rsidRPr="007B0772">
        <w:rPr>
          <w:rFonts w:ascii="仿宋_GB2312" w:eastAsia="仿宋_GB2312" w:hAnsi="宋体"/>
          <w:sz w:val="32"/>
          <w:szCs w:val="32"/>
          <w:lang w:val="en-GB"/>
        </w:rPr>
        <w:t>6.5</w:t>
      </w:r>
      <w:r w:rsidR="007C232A" w:rsidRPr="007B0772">
        <w:rPr>
          <w:rFonts w:ascii="仿宋_GB2312" w:eastAsia="仿宋_GB2312" w:hAnsi="宋体" w:hint="eastAsia"/>
          <w:sz w:val="32"/>
          <w:szCs w:val="32"/>
          <w:lang w:val="en-GB"/>
        </w:rPr>
        <w:t>天</w:t>
      </w:r>
      <w:r w:rsidR="007C1795">
        <w:rPr>
          <w:rFonts w:ascii="仿宋_GB2312" w:eastAsia="仿宋_GB2312" w:hAnsi="宋体" w:hint="eastAsia"/>
          <w:sz w:val="32"/>
          <w:szCs w:val="32"/>
          <w:lang w:val="en-GB"/>
        </w:rPr>
        <w:t>；</w:t>
      </w:r>
    </w:p>
    <w:p w14:paraId="09FE27F4" w14:textId="77777777" w:rsidR="007C232A" w:rsidRPr="007B0772" w:rsidRDefault="00D3082F" w:rsidP="007C1795">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（3）</w:t>
      </w:r>
      <w:r w:rsidR="007C232A" w:rsidRPr="007B0772">
        <w:rPr>
          <w:rFonts w:ascii="仿宋_GB2312" w:eastAsia="仿宋_GB2312" w:hAnsi="宋体"/>
          <w:sz w:val="32"/>
          <w:szCs w:val="32"/>
          <w:lang w:val="en-GB"/>
        </w:rPr>
        <w:t>24</w:t>
      </w:r>
      <w:r w:rsidR="007C232A" w:rsidRPr="007B0772">
        <w:rPr>
          <w:rFonts w:ascii="仿宋_GB2312" w:eastAsia="仿宋_GB2312" w:hAnsi="宋体" w:hint="eastAsia"/>
          <w:sz w:val="32"/>
          <w:szCs w:val="32"/>
          <w:lang w:val="en-GB"/>
        </w:rPr>
        <w:t>个月内自动紧急停堆次数不超过</w:t>
      </w:r>
      <w:r w:rsidR="007C232A" w:rsidRPr="007B0772">
        <w:rPr>
          <w:rFonts w:ascii="仿宋_GB2312" w:eastAsia="仿宋_GB2312" w:hAnsi="宋体"/>
          <w:sz w:val="32"/>
          <w:szCs w:val="32"/>
          <w:lang w:val="en-GB"/>
        </w:rPr>
        <w:t>1</w:t>
      </w:r>
      <w:r w:rsidR="007C232A" w:rsidRPr="007B0772">
        <w:rPr>
          <w:rFonts w:ascii="仿宋_GB2312" w:eastAsia="仿宋_GB2312" w:hAnsi="宋体" w:hint="eastAsia"/>
          <w:sz w:val="32"/>
          <w:szCs w:val="32"/>
          <w:lang w:val="en-GB"/>
        </w:rPr>
        <w:t>次</w:t>
      </w:r>
      <w:r w:rsidR="007C1795">
        <w:rPr>
          <w:rFonts w:ascii="仿宋_GB2312" w:eastAsia="仿宋_GB2312" w:hAnsi="宋体" w:hint="eastAsia"/>
          <w:sz w:val="32"/>
          <w:szCs w:val="32"/>
          <w:lang w:val="en-GB"/>
        </w:rPr>
        <w:t>；</w:t>
      </w:r>
    </w:p>
    <w:p w14:paraId="764F6B24" w14:textId="77777777" w:rsidR="007C232A" w:rsidRPr="007B0772" w:rsidRDefault="00D3082F" w:rsidP="007C1795">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（4）</w:t>
      </w:r>
      <w:r w:rsidR="007C232A" w:rsidRPr="007B0772">
        <w:rPr>
          <w:rFonts w:ascii="仿宋_GB2312" w:eastAsia="仿宋_GB2312" w:hAnsi="宋体" w:hint="eastAsia"/>
          <w:sz w:val="32"/>
          <w:szCs w:val="32"/>
          <w:lang w:val="en-GB"/>
        </w:rPr>
        <w:t>近一年内燃料可靠性不超过</w:t>
      </w:r>
      <w:r w:rsidR="007C232A" w:rsidRPr="007B0772">
        <w:rPr>
          <w:rFonts w:ascii="仿宋_GB2312" w:eastAsia="仿宋_GB2312" w:hAnsi="宋体"/>
          <w:sz w:val="32"/>
          <w:szCs w:val="32"/>
          <w:lang w:val="en-GB"/>
        </w:rPr>
        <w:t>19Bq/g</w:t>
      </w:r>
      <w:r w:rsidR="007C1795">
        <w:rPr>
          <w:rFonts w:ascii="仿宋_GB2312" w:eastAsia="仿宋_GB2312" w:hAnsi="宋体" w:hint="eastAsia"/>
          <w:sz w:val="32"/>
          <w:szCs w:val="32"/>
          <w:lang w:val="en-GB"/>
        </w:rPr>
        <w:t>；</w:t>
      </w:r>
    </w:p>
    <w:p w14:paraId="5FCE4A6C" w14:textId="77777777" w:rsidR="007C232A" w:rsidRPr="007B0772" w:rsidRDefault="00D3082F" w:rsidP="007C1795">
      <w:pPr>
        <w:spacing w:line="580" w:lineRule="exact"/>
        <w:ind w:firstLineChars="200" w:firstLine="640"/>
        <w:rPr>
          <w:rFonts w:ascii="仿宋_GB2312" w:eastAsia="仿宋_GB2312" w:hAnsi="宋体"/>
          <w:sz w:val="32"/>
          <w:szCs w:val="32"/>
          <w:lang w:val="en-GB"/>
        </w:rPr>
      </w:pPr>
      <w:r>
        <w:rPr>
          <w:rFonts w:ascii="仿宋_GB2312" w:eastAsia="仿宋_GB2312" w:hAnsi="宋体" w:hint="eastAsia"/>
          <w:sz w:val="32"/>
          <w:szCs w:val="32"/>
          <w:lang w:val="en-GB"/>
        </w:rPr>
        <w:t>（5）</w:t>
      </w:r>
      <w:r w:rsidR="007C232A" w:rsidRPr="007B0772">
        <w:rPr>
          <w:rFonts w:ascii="仿宋_GB2312" w:eastAsia="仿宋_GB2312" w:hAnsi="宋体" w:hint="eastAsia"/>
          <w:sz w:val="32"/>
          <w:szCs w:val="32"/>
          <w:lang w:val="en-GB"/>
        </w:rPr>
        <w:t>集体剂量在</w:t>
      </w:r>
      <w:r w:rsidR="007C232A" w:rsidRPr="007B0772">
        <w:rPr>
          <w:rFonts w:ascii="仿宋_GB2312" w:eastAsia="仿宋_GB2312" w:hAnsi="宋体"/>
          <w:sz w:val="32"/>
          <w:szCs w:val="32"/>
          <w:lang w:val="en-GB"/>
        </w:rPr>
        <w:t>18</w:t>
      </w:r>
      <w:r w:rsidR="007C232A" w:rsidRPr="007B0772">
        <w:rPr>
          <w:rFonts w:ascii="仿宋_GB2312" w:eastAsia="仿宋_GB2312" w:hAnsi="宋体" w:hint="eastAsia"/>
          <w:sz w:val="32"/>
          <w:szCs w:val="32"/>
          <w:lang w:val="en-GB"/>
        </w:rPr>
        <w:t>个月值和</w:t>
      </w:r>
      <w:r w:rsidR="007C232A" w:rsidRPr="007B0772">
        <w:rPr>
          <w:rFonts w:ascii="仿宋_GB2312" w:eastAsia="仿宋_GB2312" w:hAnsi="宋体"/>
          <w:sz w:val="32"/>
          <w:szCs w:val="32"/>
          <w:lang w:val="en-GB"/>
        </w:rPr>
        <w:t>2</w:t>
      </w:r>
      <w:r w:rsidR="007C232A" w:rsidRPr="007B0772">
        <w:rPr>
          <w:rFonts w:ascii="仿宋_GB2312" w:eastAsia="仿宋_GB2312" w:hAnsi="宋体" w:hint="eastAsia"/>
          <w:sz w:val="32"/>
          <w:szCs w:val="32"/>
          <w:lang w:val="en-GB"/>
        </w:rPr>
        <w:t>年值不超过</w:t>
      </w:r>
      <w:r w:rsidR="007C232A" w:rsidRPr="007B0772">
        <w:rPr>
          <w:rFonts w:ascii="仿宋_GB2312" w:eastAsia="仿宋_GB2312" w:hAnsi="宋体"/>
          <w:sz w:val="32"/>
          <w:szCs w:val="32"/>
          <w:lang w:val="en-GB"/>
        </w:rPr>
        <w:t>0.6</w:t>
      </w:r>
      <w:r w:rsidR="007C232A" w:rsidRPr="007B0772">
        <w:rPr>
          <w:rFonts w:ascii="仿宋_GB2312" w:eastAsia="仿宋_GB2312" w:hAnsi="宋体" w:hint="eastAsia"/>
          <w:sz w:val="32"/>
          <w:szCs w:val="32"/>
          <w:lang w:val="en-GB"/>
        </w:rPr>
        <w:t>人</w:t>
      </w:r>
      <w:r w:rsidR="007C232A" w:rsidRPr="007B0772">
        <w:rPr>
          <w:rFonts w:ascii="仿宋_GB2312" w:eastAsia="仿宋_GB2312" w:hAnsi="宋体"/>
          <w:sz w:val="32"/>
          <w:szCs w:val="32"/>
          <w:lang w:val="en-GB"/>
        </w:rPr>
        <w:t>.</w:t>
      </w:r>
      <w:proofErr w:type="spellStart"/>
      <w:r w:rsidR="007C232A" w:rsidRPr="007B0772">
        <w:rPr>
          <w:rFonts w:ascii="仿宋_GB2312" w:eastAsia="仿宋_GB2312" w:hAnsi="宋体"/>
          <w:sz w:val="32"/>
          <w:szCs w:val="32"/>
          <w:lang w:val="en-GB"/>
        </w:rPr>
        <w:t>Sv</w:t>
      </w:r>
      <w:proofErr w:type="spellEnd"/>
      <w:r w:rsidR="007C232A" w:rsidRPr="007B0772">
        <w:rPr>
          <w:rFonts w:ascii="仿宋_GB2312" w:eastAsia="仿宋_GB2312" w:hAnsi="宋体" w:hint="eastAsia"/>
          <w:sz w:val="32"/>
          <w:szCs w:val="32"/>
          <w:lang w:val="en-GB"/>
        </w:rPr>
        <w:t>。</w:t>
      </w:r>
    </w:p>
    <w:p w14:paraId="080A054D" w14:textId="77777777" w:rsidR="007C232A" w:rsidRPr="00486142" w:rsidRDefault="007C232A" w:rsidP="009565E9">
      <w:pPr>
        <w:adjustRightInd w:val="0"/>
        <w:snapToGrid w:val="0"/>
        <w:spacing w:line="580" w:lineRule="exact"/>
        <w:ind w:firstLineChars="200" w:firstLine="640"/>
        <w:jc w:val="left"/>
        <w:rPr>
          <w:rFonts w:ascii="仿宋_GB2312" w:eastAsia="仿宋_GB2312" w:cs="宋体"/>
          <w:color w:val="000000"/>
          <w:kern w:val="0"/>
          <w:sz w:val="32"/>
          <w:szCs w:val="32"/>
        </w:rPr>
      </w:pPr>
      <w:r w:rsidRPr="009565E9">
        <w:rPr>
          <w:rFonts w:ascii="黑体" w:eastAsia="黑体" w:hAnsi="黑体" w:hint="eastAsia"/>
          <w:sz w:val="32"/>
          <w:szCs w:val="32"/>
        </w:rPr>
        <w:t>第十五条</w:t>
      </w:r>
      <w:r w:rsidR="00D239B2">
        <w:rPr>
          <w:rFonts w:ascii="仿宋_GB2312" w:eastAsia="仿宋_GB2312" w:hint="eastAsia"/>
          <w:sz w:val="32"/>
          <w:szCs w:val="32"/>
        </w:rPr>
        <w:t xml:space="preserve"> </w:t>
      </w:r>
      <w:r w:rsidRPr="00486142">
        <w:rPr>
          <w:rFonts w:ascii="仿宋_GB2312" w:eastAsia="仿宋_GB2312" w:hAnsi="宋体" w:hint="eastAsia"/>
          <w:sz w:val="32"/>
          <w:szCs w:val="32"/>
        </w:rPr>
        <w:t>指标得分统计如下表:</w:t>
      </w:r>
    </w:p>
    <w:tbl>
      <w:tblPr>
        <w:tblpPr w:leftFromText="180" w:rightFromText="180" w:vertAnchor="text" w:horzAnchor="margin" w:tblpXSpec="center" w:tblpY="127"/>
        <w:tblW w:w="79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81"/>
        <w:gridCol w:w="2295"/>
        <w:gridCol w:w="3771"/>
        <w:gridCol w:w="1075"/>
      </w:tblGrid>
      <w:tr w:rsidR="007C232A" w:rsidRPr="00E839AB" w14:paraId="71C85181" w14:textId="77777777" w:rsidTr="009565E9">
        <w:trPr>
          <w:trHeight w:val="691"/>
        </w:trPr>
        <w:tc>
          <w:tcPr>
            <w:tcW w:w="781" w:type="dxa"/>
            <w:tcBorders>
              <w:top w:val="single" w:sz="8" w:space="0" w:color="auto"/>
            </w:tcBorders>
            <w:vAlign w:val="center"/>
          </w:tcPr>
          <w:p w14:paraId="037A1C50" w14:textId="77777777" w:rsidR="007C232A" w:rsidRPr="009565E9" w:rsidRDefault="007C232A" w:rsidP="009565E9">
            <w:pPr>
              <w:adjustRightInd w:val="0"/>
              <w:snapToGrid w:val="0"/>
              <w:spacing w:line="360" w:lineRule="auto"/>
              <w:jc w:val="center"/>
              <w:rPr>
                <w:rFonts w:ascii="宋体" w:cs="宋体"/>
                <w:b/>
                <w:color w:val="000000"/>
                <w:kern w:val="0"/>
                <w:sz w:val="24"/>
                <w:szCs w:val="24"/>
              </w:rPr>
            </w:pPr>
            <w:r w:rsidRPr="009565E9">
              <w:rPr>
                <w:rFonts w:ascii="宋体" w:hAnsi="宋体" w:cs="宋体" w:hint="eastAsia"/>
                <w:b/>
                <w:color w:val="000000"/>
                <w:kern w:val="0"/>
                <w:sz w:val="24"/>
                <w:szCs w:val="24"/>
              </w:rPr>
              <w:t>序号</w:t>
            </w:r>
          </w:p>
        </w:tc>
        <w:tc>
          <w:tcPr>
            <w:tcW w:w="6066" w:type="dxa"/>
            <w:gridSpan w:val="2"/>
            <w:tcBorders>
              <w:top w:val="single" w:sz="8" w:space="0" w:color="auto"/>
            </w:tcBorders>
            <w:vAlign w:val="center"/>
          </w:tcPr>
          <w:p w14:paraId="7E9CEB85" w14:textId="77777777" w:rsidR="007C232A" w:rsidRPr="009565E9" w:rsidRDefault="007C232A" w:rsidP="009565E9">
            <w:pPr>
              <w:adjustRightInd w:val="0"/>
              <w:snapToGrid w:val="0"/>
              <w:spacing w:line="360" w:lineRule="auto"/>
              <w:jc w:val="center"/>
              <w:rPr>
                <w:rFonts w:ascii="宋体" w:cs="宋体"/>
                <w:b/>
                <w:color w:val="000000"/>
                <w:kern w:val="0"/>
                <w:sz w:val="24"/>
                <w:szCs w:val="24"/>
              </w:rPr>
            </w:pPr>
            <w:r w:rsidRPr="009565E9">
              <w:rPr>
                <w:rFonts w:ascii="宋体" w:hAnsi="宋体" w:cs="宋体" w:hint="eastAsia"/>
                <w:b/>
                <w:color w:val="000000"/>
                <w:kern w:val="0"/>
                <w:sz w:val="24"/>
                <w:szCs w:val="24"/>
              </w:rPr>
              <w:t>运行业绩指标</w:t>
            </w:r>
          </w:p>
        </w:tc>
        <w:tc>
          <w:tcPr>
            <w:tcW w:w="1075" w:type="dxa"/>
            <w:tcBorders>
              <w:top w:val="single" w:sz="8" w:space="0" w:color="auto"/>
            </w:tcBorders>
            <w:vAlign w:val="center"/>
          </w:tcPr>
          <w:p w14:paraId="650451F0" w14:textId="77777777" w:rsidR="007C232A" w:rsidRPr="009565E9" w:rsidRDefault="007C232A" w:rsidP="009565E9">
            <w:pPr>
              <w:adjustRightInd w:val="0"/>
              <w:snapToGrid w:val="0"/>
              <w:spacing w:line="360" w:lineRule="auto"/>
              <w:jc w:val="center"/>
              <w:rPr>
                <w:rFonts w:ascii="宋体" w:cs="宋体"/>
                <w:b/>
                <w:color w:val="000000"/>
                <w:kern w:val="0"/>
                <w:sz w:val="24"/>
                <w:szCs w:val="24"/>
              </w:rPr>
            </w:pPr>
            <w:r w:rsidRPr="009565E9">
              <w:rPr>
                <w:rFonts w:ascii="宋体" w:hAnsi="宋体" w:cs="宋体" w:hint="eastAsia"/>
                <w:b/>
                <w:color w:val="000000"/>
                <w:kern w:val="0"/>
                <w:sz w:val="24"/>
                <w:szCs w:val="24"/>
              </w:rPr>
              <w:t>实得分</w:t>
            </w:r>
          </w:p>
        </w:tc>
      </w:tr>
      <w:tr w:rsidR="007C232A" w:rsidRPr="00E839AB" w14:paraId="1A0B5349" w14:textId="77777777" w:rsidTr="00BE3272">
        <w:trPr>
          <w:trHeight w:val="462"/>
        </w:trPr>
        <w:tc>
          <w:tcPr>
            <w:tcW w:w="781" w:type="dxa"/>
            <w:vAlign w:val="center"/>
          </w:tcPr>
          <w:p w14:paraId="2CEBC297" w14:textId="77777777" w:rsidR="007C232A" w:rsidRPr="00E839AB" w:rsidRDefault="007C232A" w:rsidP="00603EF1">
            <w:pPr>
              <w:numPr>
                <w:ilvl w:val="0"/>
                <w:numId w:val="1"/>
              </w:numPr>
              <w:jc w:val="center"/>
              <w:rPr>
                <w:rFonts w:ascii="仿宋_GB2312" w:eastAsia="仿宋_GB2312"/>
                <w:sz w:val="24"/>
              </w:rPr>
            </w:pPr>
            <w:bookmarkStart w:id="1" w:name="_Hlk317871830"/>
          </w:p>
        </w:tc>
        <w:tc>
          <w:tcPr>
            <w:tcW w:w="6066" w:type="dxa"/>
            <w:gridSpan w:val="2"/>
            <w:vAlign w:val="center"/>
          </w:tcPr>
          <w:p w14:paraId="6B94F717" w14:textId="77777777" w:rsidR="007C232A" w:rsidRPr="00E839AB" w:rsidRDefault="007C232A" w:rsidP="00BE3272">
            <w:pPr>
              <w:rPr>
                <w:rFonts w:ascii="仿宋_GB2312" w:eastAsia="仿宋_GB2312"/>
                <w:sz w:val="24"/>
              </w:rPr>
            </w:pPr>
            <w:r w:rsidRPr="00E839AB">
              <w:rPr>
                <w:rFonts w:ascii="宋体" w:hAnsi="宋体" w:cs="宋体" w:hint="eastAsia"/>
                <w:color w:val="000000"/>
                <w:kern w:val="0"/>
                <w:sz w:val="24"/>
                <w:szCs w:val="24"/>
              </w:rPr>
              <w:t>机组能力因子（</w:t>
            </w:r>
            <w:r w:rsidRPr="00E839AB">
              <w:rPr>
                <w:rFonts w:ascii="宋体" w:hAnsi="宋体" w:cs="宋体"/>
                <w:color w:val="000000"/>
                <w:kern w:val="0"/>
                <w:sz w:val="24"/>
                <w:szCs w:val="24"/>
              </w:rPr>
              <w:t>UCF</w:t>
            </w:r>
            <w:r w:rsidRPr="00E839AB">
              <w:rPr>
                <w:rFonts w:ascii="宋体" w:hAnsi="宋体" w:cs="宋体" w:hint="eastAsia"/>
                <w:color w:val="000000"/>
                <w:kern w:val="0"/>
                <w:sz w:val="24"/>
                <w:szCs w:val="24"/>
              </w:rPr>
              <w:t>）</w:t>
            </w:r>
          </w:p>
        </w:tc>
        <w:tc>
          <w:tcPr>
            <w:tcW w:w="1075" w:type="dxa"/>
            <w:vAlign w:val="center"/>
          </w:tcPr>
          <w:p w14:paraId="4CD81E32" w14:textId="77777777" w:rsidR="007C232A" w:rsidRPr="00E839AB" w:rsidRDefault="007C232A" w:rsidP="00BE3272">
            <w:pPr>
              <w:jc w:val="center"/>
              <w:rPr>
                <w:rFonts w:ascii="仿宋_GB2312" w:eastAsia="仿宋_GB2312"/>
                <w:sz w:val="24"/>
              </w:rPr>
            </w:pPr>
          </w:p>
        </w:tc>
      </w:tr>
      <w:tr w:rsidR="007C232A" w:rsidRPr="00E839AB" w14:paraId="1C834150" w14:textId="77777777" w:rsidTr="00BE3272">
        <w:trPr>
          <w:trHeight w:val="462"/>
        </w:trPr>
        <w:tc>
          <w:tcPr>
            <w:tcW w:w="781" w:type="dxa"/>
            <w:vAlign w:val="center"/>
          </w:tcPr>
          <w:p w14:paraId="3F86D94F" w14:textId="77777777" w:rsidR="007C232A" w:rsidRPr="00E839AB" w:rsidRDefault="007C232A" w:rsidP="00603EF1">
            <w:pPr>
              <w:numPr>
                <w:ilvl w:val="0"/>
                <w:numId w:val="1"/>
              </w:numPr>
              <w:jc w:val="center"/>
              <w:rPr>
                <w:rFonts w:ascii="仿宋_GB2312" w:eastAsia="仿宋_GB2312"/>
                <w:sz w:val="24"/>
              </w:rPr>
            </w:pPr>
          </w:p>
        </w:tc>
        <w:tc>
          <w:tcPr>
            <w:tcW w:w="6066" w:type="dxa"/>
            <w:gridSpan w:val="2"/>
            <w:vAlign w:val="center"/>
          </w:tcPr>
          <w:p w14:paraId="334B719C" w14:textId="77777777" w:rsidR="007C232A" w:rsidRPr="00E839AB" w:rsidRDefault="007C232A" w:rsidP="00BE3272">
            <w:pPr>
              <w:rPr>
                <w:rFonts w:ascii="仿宋_GB2312" w:eastAsia="仿宋_GB2312"/>
                <w:sz w:val="24"/>
              </w:rPr>
            </w:pPr>
            <w:r w:rsidRPr="00E839AB">
              <w:rPr>
                <w:rFonts w:ascii="宋体" w:hAnsi="宋体" w:cs="宋体" w:hint="eastAsia"/>
                <w:color w:val="000000"/>
                <w:kern w:val="0"/>
                <w:sz w:val="24"/>
                <w:szCs w:val="24"/>
              </w:rPr>
              <w:t>强迫能力损失率（</w:t>
            </w:r>
            <w:r w:rsidRPr="00E839AB">
              <w:rPr>
                <w:rFonts w:ascii="宋体" w:hAnsi="宋体" w:cs="宋体"/>
                <w:color w:val="000000"/>
                <w:kern w:val="0"/>
                <w:sz w:val="24"/>
                <w:szCs w:val="24"/>
              </w:rPr>
              <w:t>FLR</w:t>
            </w:r>
            <w:r w:rsidRPr="00E839AB">
              <w:rPr>
                <w:rFonts w:ascii="宋体" w:hAnsi="宋体" w:cs="宋体" w:hint="eastAsia"/>
                <w:color w:val="000000"/>
                <w:kern w:val="0"/>
                <w:sz w:val="24"/>
                <w:szCs w:val="24"/>
              </w:rPr>
              <w:t>）</w:t>
            </w:r>
          </w:p>
        </w:tc>
        <w:tc>
          <w:tcPr>
            <w:tcW w:w="1075" w:type="dxa"/>
            <w:vAlign w:val="center"/>
          </w:tcPr>
          <w:p w14:paraId="70523334" w14:textId="77777777" w:rsidR="007C232A" w:rsidRPr="00E839AB" w:rsidRDefault="007C232A" w:rsidP="00BE3272">
            <w:pPr>
              <w:jc w:val="center"/>
              <w:rPr>
                <w:rFonts w:ascii="仿宋_GB2312" w:eastAsia="仿宋_GB2312"/>
                <w:sz w:val="24"/>
              </w:rPr>
            </w:pPr>
          </w:p>
        </w:tc>
      </w:tr>
      <w:tr w:rsidR="007C232A" w:rsidRPr="00E839AB" w14:paraId="03279996" w14:textId="77777777" w:rsidTr="00BE3272">
        <w:trPr>
          <w:trHeight w:val="462"/>
        </w:trPr>
        <w:tc>
          <w:tcPr>
            <w:tcW w:w="781" w:type="dxa"/>
            <w:vAlign w:val="center"/>
          </w:tcPr>
          <w:p w14:paraId="726D516F" w14:textId="77777777" w:rsidR="007C232A" w:rsidRPr="00E839AB" w:rsidRDefault="007C232A" w:rsidP="00603EF1">
            <w:pPr>
              <w:numPr>
                <w:ilvl w:val="0"/>
                <w:numId w:val="1"/>
              </w:numPr>
              <w:jc w:val="center"/>
              <w:rPr>
                <w:rFonts w:ascii="仿宋_GB2312" w:eastAsia="仿宋_GB2312"/>
                <w:sz w:val="24"/>
              </w:rPr>
            </w:pPr>
          </w:p>
        </w:tc>
        <w:tc>
          <w:tcPr>
            <w:tcW w:w="6066" w:type="dxa"/>
            <w:gridSpan w:val="2"/>
            <w:vAlign w:val="center"/>
          </w:tcPr>
          <w:p w14:paraId="66D9F214" w14:textId="77777777" w:rsidR="007C232A" w:rsidRPr="00E839AB" w:rsidRDefault="007C232A" w:rsidP="00BE3272">
            <w:pPr>
              <w:rPr>
                <w:rFonts w:ascii="仿宋_GB2312" w:eastAsia="仿宋_GB2312"/>
                <w:sz w:val="24"/>
              </w:rPr>
            </w:pPr>
            <w:r w:rsidRPr="00E839AB">
              <w:rPr>
                <w:rFonts w:ascii="宋体" w:hAnsi="宋体" w:cs="宋体"/>
                <w:color w:val="000000"/>
                <w:kern w:val="0"/>
                <w:sz w:val="24"/>
                <w:szCs w:val="24"/>
              </w:rPr>
              <w:t>7000</w:t>
            </w:r>
            <w:r w:rsidRPr="00E839AB">
              <w:rPr>
                <w:rFonts w:ascii="宋体" w:hAnsi="宋体" w:cs="宋体" w:hint="eastAsia"/>
                <w:color w:val="000000"/>
                <w:kern w:val="0"/>
                <w:sz w:val="24"/>
                <w:szCs w:val="24"/>
              </w:rPr>
              <w:t>临界小时非计划自动紧急停堆次数（</w:t>
            </w:r>
            <w:r w:rsidRPr="00E839AB">
              <w:rPr>
                <w:rFonts w:ascii="宋体" w:hAnsi="宋体" w:cs="宋体"/>
                <w:color w:val="000000"/>
                <w:kern w:val="0"/>
                <w:sz w:val="24"/>
                <w:szCs w:val="24"/>
              </w:rPr>
              <w:t>UA7</w:t>
            </w:r>
            <w:r w:rsidRPr="00E839AB">
              <w:rPr>
                <w:rFonts w:ascii="宋体" w:hAnsi="宋体" w:cs="宋体" w:hint="eastAsia"/>
                <w:color w:val="000000"/>
                <w:kern w:val="0"/>
                <w:sz w:val="24"/>
                <w:szCs w:val="24"/>
              </w:rPr>
              <w:t>）</w:t>
            </w:r>
          </w:p>
        </w:tc>
        <w:tc>
          <w:tcPr>
            <w:tcW w:w="1075" w:type="dxa"/>
            <w:vAlign w:val="center"/>
          </w:tcPr>
          <w:p w14:paraId="5228D2B0" w14:textId="77777777" w:rsidR="007C232A" w:rsidRPr="00E839AB" w:rsidRDefault="007C232A" w:rsidP="00BE3272">
            <w:pPr>
              <w:jc w:val="center"/>
              <w:rPr>
                <w:rFonts w:ascii="仿宋_GB2312" w:eastAsia="仿宋_GB2312"/>
                <w:sz w:val="24"/>
              </w:rPr>
            </w:pPr>
          </w:p>
        </w:tc>
      </w:tr>
      <w:bookmarkEnd w:id="1"/>
      <w:tr w:rsidR="007C232A" w:rsidRPr="00E839AB" w14:paraId="70A82284" w14:textId="77777777" w:rsidTr="00BE3272">
        <w:trPr>
          <w:trHeight w:val="462"/>
        </w:trPr>
        <w:tc>
          <w:tcPr>
            <w:tcW w:w="781" w:type="dxa"/>
            <w:vAlign w:val="center"/>
          </w:tcPr>
          <w:p w14:paraId="213BB555" w14:textId="77777777" w:rsidR="007C232A" w:rsidRPr="00E839AB" w:rsidRDefault="007C232A" w:rsidP="00603EF1">
            <w:pPr>
              <w:numPr>
                <w:ilvl w:val="0"/>
                <w:numId w:val="1"/>
              </w:numPr>
              <w:jc w:val="center"/>
              <w:rPr>
                <w:rFonts w:ascii="仿宋_GB2312" w:eastAsia="仿宋_GB2312"/>
                <w:sz w:val="24"/>
              </w:rPr>
            </w:pPr>
          </w:p>
        </w:tc>
        <w:tc>
          <w:tcPr>
            <w:tcW w:w="2295" w:type="dxa"/>
            <w:vMerge w:val="restart"/>
            <w:vAlign w:val="center"/>
          </w:tcPr>
          <w:p w14:paraId="0AA84D4F" w14:textId="77777777" w:rsidR="007C232A" w:rsidRPr="00E839AB" w:rsidRDefault="007C232A" w:rsidP="00BE3272">
            <w:pPr>
              <w:adjustRightInd w:val="0"/>
              <w:snapToGrid w:val="0"/>
              <w:spacing w:line="360" w:lineRule="auto"/>
              <w:rPr>
                <w:rFonts w:ascii="宋体" w:cs="宋体"/>
                <w:color w:val="000000"/>
                <w:kern w:val="0"/>
                <w:sz w:val="24"/>
                <w:szCs w:val="24"/>
              </w:rPr>
            </w:pPr>
            <w:r w:rsidRPr="00E839AB">
              <w:rPr>
                <w:rFonts w:ascii="宋体" w:hAnsi="宋体" w:cs="宋体" w:hint="eastAsia"/>
                <w:color w:val="000000"/>
                <w:kern w:val="0"/>
                <w:sz w:val="24"/>
                <w:szCs w:val="24"/>
              </w:rPr>
              <w:t>安全系统性能</w:t>
            </w:r>
          </w:p>
        </w:tc>
        <w:tc>
          <w:tcPr>
            <w:tcW w:w="3771" w:type="dxa"/>
            <w:vAlign w:val="center"/>
          </w:tcPr>
          <w:p w14:paraId="75AA887E" w14:textId="77777777" w:rsidR="007C232A" w:rsidRPr="00E839AB" w:rsidRDefault="007C232A" w:rsidP="00BE3272">
            <w:pPr>
              <w:jc w:val="center"/>
              <w:rPr>
                <w:rFonts w:ascii="仿宋_GB2312" w:eastAsia="仿宋_GB2312"/>
                <w:sz w:val="24"/>
              </w:rPr>
            </w:pPr>
            <w:r w:rsidRPr="00E839AB">
              <w:rPr>
                <w:rFonts w:ascii="宋体" w:hAnsi="宋体" w:cs="宋体" w:hint="eastAsia"/>
                <w:color w:val="000000"/>
                <w:kern w:val="0"/>
                <w:sz w:val="24"/>
                <w:szCs w:val="24"/>
              </w:rPr>
              <w:t>高压安注系统（</w:t>
            </w:r>
            <w:r w:rsidRPr="00E839AB">
              <w:rPr>
                <w:rFonts w:ascii="宋体" w:hAnsi="宋体" w:cs="宋体"/>
                <w:color w:val="000000"/>
                <w:kern w:val="0"/>
                <w:sz w:val="24"/>
                <w:szCs w:val="24"/>
              </w:rPr>
              <w:t>SP1</w:t>
            </w:r>
            <w:r w:rsidRPr="00E839AB">
              <w:rPr>
                <w:rFonts w:ascii="宋体" w:hAnsi="宋体" w:cs="宋体" w:hint="eastAsia"/>
                <w:color w:val="000000"/>
                <w:kern w:val="0"/>
                <w:sz w:val="24"/>
                <w:szCs w:val="24"/>
              </w:rPr>
              <w:t>）</w:t>
            </w:r>
          </w:p>
        </w:tc>
        <w:tc>
          <w:tcPr>
            <w:tcW w:w="1075" w:type="dxa"/>
            <w:vAlign w:val="center"/>
          </w:tcPr>
          <w:p w14:paraId="2A433DD7" w14:textId="77777777" w:rsidR="007C232A" w:rsidRPr="00E839AB" w:rsidRDefault="007C232A" w:rsidP="00BE3272">
            <w:pPr>
              <w:jc w:val="center"/>
              <w:rPr>
                <w:rFonts w:ascii="仿宋_GB2312" w:eastAsia="仿宋_GB2312"/>
                <w:sz w:val="24"/>
              </w:rPr>
            </w:pPr>
          </w:p>
        </w:tc>
      </w:tr>
      <w:tr w:rsidR="007C232A" w:rsidRPr="00E839AB" w14:paraId="72ED756F" w14:textId="77777777" w:rsidTr="00BE3272">
        <w:trPr>
          <w:trHeight w:val="462"/>
        </w:trPr>
        <w:tc>
          <w:tcPr>
            <w:tcW w:w="781" w:type="dxa"/>
            <w:vAlign w:val="center"/>
          </w:tcPr>
          <w:p w14:paraId="7D4111BE" w14:textId="77777777" w:rsidR="007C232A" w:rsidRPr="00E839AB" w:rsidRDefault="007C232A" w:rsidP="00603EF1">
            <w:pPr>
              <w:numPr>
                <w:ilvl w:val="0"/>
                <w:numId w:val="1"/>
              </w:numPr>
              <w:jc w:val="center"/>
              <w:rPr>
                <w:rFonts w:ascii="仿宋_GB2312" w:eastAsia="仿宋_GB2312"/>
                <w:sz w:val="24"/>
              </w:rPr>
            </w:pPr>
          </w:p>
        </w:tc>
        <w:tc>
          <w:tcPr>
            <w:tcW w:w="2295" w:type="dxa"/>
            <w:vMerge/>
          </w:tcPr>
          <w:p w14:paraId="4452A687" w14:textId="77777777" w:rsidR="007C232A" w:rsidRPr="00E839AB" w:rsidRDefault="007C232A" w:rsidP="00BE3272">
            <w:pPr>
              <w:adjustRightInd w:val="0"/>
              <w:snapToGrid w:val="0"/>
              <w:spacing w:line="360" w:lineRule="auto"/>
              <w:rPr>
                <w:rFonts w:ascii="宋体" w:cs="宋体"/>
                <w:color w:val="000000"/>
                <w:kern w:val="0"/>
                <w:sz w:val="24"/>
                <w:szCs w:val="24"/>
              </w:rPr>
            </w:pPr>
          </w:p>
        </w:tc>
        <w:tc>
          <w:tcPr>
            <w:tcW w:w="3771" w:type="dxa"/>
            <w:vAlign w:val="center"/>
          </w:tcPr>
          <w:p w14:paraId="31CB504D" w14:textId="77777777" w:rsidR="007C232A" w:rsidRPr="00E839AB" w:rsidRDefault="007C232A" w:rsidP="00BE3272">
            <w:pPr>
              <w:jc w:val="center"/>
              <w:rPr>
                <w:rFonts w:ascii="仿宋_GB2312" w:eastAsia="仿宋_GB2312"/>
                <w:sz w:val="24"/>
              </w:rPr>
            </w:pPr>
            <w:r w:rsidRPr="00E839AB">
              <w:rPr>
                <w:rFonts w:ascii="宋体" w:hAnsi="宋体" w:cs="宋体" w:hint="eastAsia"/>
                <w:color w:val="000000"/>
                <w:kern w:val="0"/>
                <w:sz w:val="24"/>
                <w:szCs w:val="24"/>
              </w:rPr>
              <w:t>辅助给水系统（</w:t>
            </w:r>
            <w:r w:rsidRPr="00E839AB">
              <w:rPr>
                <w:rFonts w:ascii="宋体" w:hAnsi="宋体" w:cs="宋体"/>
                <w:color w:val="000000"/>
                <w:kern w:val="0"/>
                <w:sz w:val="24"/>
                <w:szCs w:val="24"/>
              </w:rPr>
              <w:t>SP2</w:t>
            </w:r>
            <w:r w:rsidRPr="00E839AB">
              <w:rPr>
                <w:rFonts w:ascii="宋体" w:hAnsi="宋体" w:cs="宋体" w:hint="eastAsia"/>
                <w:color w:val="000000"/>
                <w:kern w:val="0"/>
                <w:sz w:val="24"/>
                <w:szCs w:val="24"/>
              </w:rPr>
              <w:t>）</w:t>
            </w:r>
          </w:p>
        </w:tc>
        <w:tc>
          <w:tcPr>
            <w:tcW w:w="1075" w:type="dxa"/>
            <w:vAlign w:val="center"/>
          </w:tcPr>
          <w:p w14:paraId="5FD469D8" w14:textId="77777777" w:rsidR="007C232A" w:rsidRPr="00E839AB" w:rsidRDefault="007C232A" w:rsidP="00BE3272">
            <w:pPr>
              <w:jc w:val="center"/>
              <w:rPr>
                <w:rFonts w:ascii="仿宋_GB2312" w:eastAsia="仿宋_GB2312"/>
                <w:sz w:val="24"/>
              </w:rPr>
            </w:pPr>
          </w:p>
        </w:tc>
      </w:tr>
      <w:tr w:rsidR="007C232A" w:rsidRPr="00E839AB" w14:paraId="1EF38305" w14:textId="77777777" w:rsidTr="00BE3272">
        <w:trPr>
          <w:trHeight w:val="462"/>
        </w:trPr>
        <w:tc>
          <w:tcPr>
            <w:tcW w:w="781" w:type="dxa"/>
            <w:vAlign w:val="center"/>
          </w:tcPr>
          <w:p w14:paraId="1ABF07BB" w14:textId="77777777" w:rsidR="007C232A" w:rsidRPr="00E839AB" w:rsidRDefault="007C232A" w:rsidP="00603EF1">
            <w:pPr>
              <w:numPr>
                <w:ilvl w:val="0"/>
                <w:numId w:val="1"/>
              </w:numPr>
              <w:jc w:val="center"/>
              <w:rPr>
                <w:rFonts w:ascii="仿宋_GB2312" w:eastAsia="仿宋_GB2312"/>
                <w:sz w:val="24"/>
              </w:rPr>
            </w:pPr>
          </w:p>
        </w:tc>
        <w:tc>
          <w:tcPr>
            <w:tcW w:w="2295" w:type="dxa"/>
            <w:vMerge/>
          </w:tcPr>
          <w:p w14:paraId="2D9853B2" w14:textId="77777777" w:rsidR="007C232A" w:rsidRPr="00E839AB" w:rsidRDefault="007C232A" w:rsidP="00BE3272">
            <w:pPr>
              <w:adjustRightInd w:val="0"/>
              <w:snapToGrid w:val="0"/>
              <w:spacing w:line="360" w:lineRule="auto"/>
              <w:rPr>
                <w:rFonts w:ascii="宋体" w:cs="宋体"/>
                <w:color w:val="000000"/>
                <w:kern w:val="0"/>
                <w:sz w:val="24"/>
                <w:szCs w:val="24"/>
              </w:rPr>
            </w:pPr>
          </w:p>
        </w:tc>
        <w:tc>
          <w:tcPr>
            <w:tcW w:w="3771" w:type="dxa"/>
            <w:vAlign w:val="center"/>
          </w:tcPr>
          <w:p w14:paraId="47CFA76F" w14:textId="77777777" w:rsidR="007C232A" w:rsidRPr="00E839AB" w:rsidRDefault="007C232A" w:rsidP="00BE3272">
            <w:pPr>
              <w:jc w:val="center"/>
              <w:rPr>
                <w:rFonts w:ascii="仿宋_GB2312" w:eastAsia="仿宋_GB2312"/>
                <w:sz w:val="24"/>
              </w:rPr>
            </w:pPr>
            <w:r w:rsidRPr="00E839AB">
              <w:rPr>
                <w:rFonts w:ascii="宋体" w:hAnsi="宋体" w:cs="宋体" w:hint="eastAsia"/>
                <w:color w:val="000000"/>
                <w:kern w:val="0"/>
                <w:sz w:val="24"/>
                <w:szCs w:val="24"/>
              </w:rPr>
              <w:t>应急交流电源系统（</w:t>
            </w:r>
            <w:r w:rsidRPr="00E839AB">
              <w:rPr>
                <w:rFonts w:ascii="宋体" w:hAnsi="宋体" w:cs="宋体"/>
                <w:color w:val="000000"/>
                <w:kern w:val="0"/>
                <w:sz w:val="24"/>
                <w:szCs w:val="24"/>
              </w:rPr>
              <w:t>SP5</w:t>
            </w:r>
            <w:r w:rsidRPr="00E839AB">
              <w:rPr>
                <w:rFonts w:ascii="宋体" w:hAnsi="宋体" w:cs="宋体" w:hint="eastAsia"/>
                <w:color w:val="000000"/>
                <w:kern w:val="0"/>
                <w:sz w:val="24"/>
                <w:szCs w:val="24"/>
              </w:rPr>
              <w:t>）</w:t>
            </w:r>
          </w:p>
        </w:tc>
        <w:tc>
          <w:tcPr>
            <w:tcW w:w="1075" w:type="dxa"/>
            <w:vAlign w:val="center"/>
          </w:tcPr>
          <w:p w14:paraId="04572A04" w14:textId="77777777" w:rsidR="007C232A" w:rsidRPr="00E839AB" w:rsidRDefault="007C232A" w:rsidP="00BE3272">
            <w:pPr>
              <w:jc w:val="center"/>
              <w:rPr>
                <w:rFonts w:ascii="仿宋_GB2312" w:eastAsia="仿宋_GB2312"/>
                <w:sz w:val="24"/>
              </w:rPr>
            </w:pPr>
          </w:p>
        </w:tc>
      </w:tr>
      <w:tr w:rsidR="007C232A" w:rsidRPr="00E839AB" w14:paraId="6A8DBD12" w14:textId="77777777" w:rsidTr="00BE3272">
        <w:trPr>
          <w:trHeight w:val="462"/>
        </w:trPr>
        <w:tc>
          <w:tcPr>
            <w:tcW w:w="781" w:type="dxa"/>
            <w:vAlign w:val="center"/>
          </w:tcPr>
          <w:p w14:paraId="7EF606B1" w14:textId="77777777" w:rsidR="007C232A" w:rsidRPr="00E839AB" w:rsidRDefault="007C232A" w:rsidP="00603EF1">
            <w:pPr>
              <w:numPr>
                <w:ilvl w:val="0"/>
                <w:numId w:val="1"/>
              </w:numPr>
              <w:jc w:val="center"/>
              <w:rPr>
                <w:rFonts w:ascii="仿宋_GB2312" w:eastAsia="仿宋_GB2312"/>
                <w:sz w:val="24"/>
              </w:rPr>
            </w:pPr>
          </w:p>
        </w:tc>
        <w:tc>
          <w:tcPr>
            <w:tcW w:w="6066" w:type="dxa"/>
            <w:gridSpan w:val="2"/>
            <w:vAlign w:val="center"/>
          </w:tcPr>
          <w:p w14:paraId="3F6BB720" w14:textId="77777777" w:rsidR="007C232A" w:rsidRPr="00E839AB" w:rsidRDefault="007C232A" w:rsidP="00BE3272">
            <w:pPr>
              <w:rPr>
                <w:rFonts w:ascii="仿宋_GB2312" w:eastAsia="仿宋_GB2312"/>
                <w:sz w:val="24"/>
              </w:rPr>
            </w:pPr>
            <w:r w:rsidRPr="00E839AB">
              <w:rPr>
                <w:rFonts w:ascii="宋体" w:hAnsi="宋体" w:cs="宋体" w:hint="eastAsia"/>
                <w:color w:val="000000"/>
                <w:kern w:val="0"/>
                <w:sz w:val="24"/>
                <w:szCs w:val="24"/>
              </w:rPr>
              <w:t>燃料可靠性（</w:t>
            </w:r>
            <w:r w:rsidRPr="00E839AB">
              <w:rPr>
                <w:rFonts w:ascii="宋体" w:hAnsi="宋体" w:cs="宋体"/>
                <w:color w:val="000000"/>
                <w:kern w:val="0"/>
                <w:sz w:val="24"/>
                <w:szCs w:val="24"/>
              </w:rPr>
              <w:t>FRI</w:t>
            </w:r>
            <w:r w:rsidRPr="00E839AB">
              <w:rPr>
                <w:rFonts w:ascii="宋体" w:hAnsi="宋体" w:cs="宋体" w:hint="eastAsia"/>
                <w:color w:val="000000"/>
                <w:kern w:val="0"/>
                <w:sz w:val="24"/>
                <w:szCs w:val="24"/>
              </w:rPr>
              <w:t>）</w:t>
            </w:r>
          </w:p>
        </w:tc>
        <w:tc>
          <w:tcPr>
            <w:tcW w:w="1075" w:type="dxa"/>
            <w:vAlign w:val="center"/>
          </w:tcPr>
          <w:p w14:paraId="225D2629" w14:textId="77777777" w:rsidR="007C232A" w:rsidRPr="00E839AB" w:rsidRDefault="007C232A" w:rsidP="00BE3272">
            <w:pPr>
              <w:jc w:val="center"/>
              <w:rPr>
                <w:rFonts w:ascii="仿宋_GB2312" w:eastAsia="仿宋_GB2312"/>
                <w:sz w:val="24"/>
              </w:rPr>
            </w:pPr>
          </w:p>
        </w:tc>
      </w:tr>
      <w:tr w:rsidR="007C232A" w:rsidRPr="00E839AB" w14:paraId="57A84410" w14:textId="77777777" w:rsidTr="00BE3272">
        <w:trPr>
          <w:trHeight w:val="462"/>
        </w:trPr>
        <w:tc>
          <w:tcPr>
            <w:tcW w:w="781" w:type="dxa"/>
            <w:vAlign w:val="center"/>
          </w:tcPr>
          <w:p w14:paraId="5A9B54FF" w14:textId="77777777" w:rsidR="007C232A" w:rsidRPr="00E839AB" w:rsidRDefault="007C232A" w:rsidP="00603EF1">
            <w:pPr>
              <w:numPr>
                <w:ilvl w:val="0"/>
                <w:numId w:val="1"/>
              </w:numPr>
              <w:jc w:val="center"/>
              <w:rPr>
                <w:rFonts w:ascii="仿宋_GB2312" w:eastAsia="仿宋_GB2312"/>
                <w:sz w:val="24"/>
              </w:rPr>
            </w:pPr>
          </w:p>
        </w:tc>
        <w:tc>
          <w:tcPr>
            <w:tcW w:w="6066" w:type="dxa"/>
            <w:gridSpan w:val="2"/>
            <w:vAlign w:val="center"/>
          </w:tcPr>
          <w:p w14:paraId="1418A556" w14:textId="77777777" w:rsidR="007C232A" w:rsidRPr="00E839AB" w:rsidRDefault="007C232A" w:rsidP="00BE3272">
            <w:pPr>
              <w:jc w:val="left"/>
              <w:rPr>
                <w:rFonts w:ascii="仿宋_GB2312" w:eastAsia="仿宋_GB2312"/>
                <w:sz w:val="24"/>
              </w:rPr>
            </w:pPr>
            <w:r w:rsidRPr="00E839AB">
              <w:rPr>
                <w:rFonts w:ascii="宋体" w:hAnsi="宋体" w:cs="宋体" w:hint="eastAsia"/>
                <w:color w:val="000000"/>
                <w:kern w:val="0"/>
                <w:sz w:val="24"/>
                <w:szCs w:val="24"/>
              </w:rPr>
              <w:t>化学指标（</w:t>
            </w:r>
            <w:r w:rsidRPr="00E839AB">
              <w:rPr>
                <w:rFonts w:ascii="宋体" w:hAnsi="宋体" w:cs="宋体"/>
                <w:color w:val="000000"/>
                <w:kern w:val="0"/>
                <w:sz w:val="24"/>
                <w:szCs w:val="24"/>
              </w:rPr>
              <w:t>CPI</w:t>
            </w:r>
            <w:r w:rsidRPr="00E839AB">
              <w:rPr>
                <w:rFonts w:ascii="宋体" w:hAnsi="宋体" w:cs="宋体" w:hint="eastAsia"/>
                <w:color w:val="000000"/>
                <w:kern w:val="0"/>
                <w:sz w:val="24"/>
                <w:szCs w:val="24"/>
              </w:rPr>
              <w:t>）</w:t>
            </w:r>
          </w:p>
        </w:tc>
        <w:tc>
          <w:tcPr>
            <w:tcW w:w="1075" w:type="dxa"/>
            <w:vAlign w:val="center"/>
          </w:tcPr>
          <w:p w14:paraId="108BA0E6" w14:textId="77777777" w:rsidR="007C232A" w:rsidRPr="00E839AB" w:rsidRDefault="007C232A" w:rsidP="00BE3272">
            <w:pPr>
              <w:jc w:val="center"/>
              <w:rPr>
                <w:rFonts w:ascii="仿宋_GB2312" w:eastAsia="仿宋_GB2312"/>
                <w:sz w:val="24"/>
              </w:rPr>
            </w:pPr>
          </w:p>
        </w:tc>
      </w:tr>
      <w:tr w:rsidR="007C232A" w:rsidRPr="00E839AB" w14:paraId="237B8AFD" w14:textId="77777777" w:rsidTr="00BE3272">
        <w:trPr>
          <w:trHeight w:val="462"/>
        </w:trPr>
        <w:tc>
          <w:tcPr>
            <w:tcW w:w="781" w:type="dxa"/>
            <w:vAlign w:val="center"/>
          </w:tcPr>
          <w:p w14:paraId="6D47EF9A" w14:textId="77777777" w:rsidR="007C232A" w:rsidRPr="00E839AB" w:rsidRDefault="007C232A" w:rsidP="00603EF1">
            <w:pPr>
              <w:numPr>
                <w:ilvl w:val="0"/>
                <w:numId w:val="1"/>
              </w:numPr>
              <w:jc w:val="center"/>
              <w:rPr>
                <w:rFonts w:ascii="仿宋_GB2312" w:eastAsia="仿宋_GB2312"/>
                <w:sz w:val="24"/>
              </w:rPr>
            </w:pPr>
          </w:p>
        </w:tc>
        <w:tc>
          <w:tcPr>
            <w:tcW w:w="6066" w:type="dxa"/>
            <w:gridSpan w:val="2"/>
            <w:vAlign w:val="center"/>
          </w:tcPr>
          <w:p w14:paraId="7BBFE652" w14:textId="77777777" w:rsidR="007C232A" w:rsidRPr="00E839AB" w:rsidRDefault="007C232A" w:rsidP="00BE3272">
            <w:pPr>
              <w:jc w:val="left"/>
              <w:rPr>
                <w:rFonts w:ascii="仿宋_GB2312" w:eastAsia="仿宋_GB2312"/>
                <w:sz w:val="24"/>
              </w:rPr>
            </w:pPr>
            <w:r w:rsidRPr="00E839AB">
              <w:rPr>
                <w:rFonts w:ascii="宋体" w:hAnsi="宋体" w:cs="宋体" w:hint="eastAsia"/>
                <w:color w:val="000000"/>
                <w:kern w:val="0"/>
                <w:sz w:val="24"/>
                <w:szCs w:val="24"/>
              </w:rPr>
              <w:t>集体剂量（</w:t>
            </w:r>
            <w:r w:rsidRPr="00E839AB">
              <w:rPr>
                <w:rFonts w:ascii="宋体" w:hAnsi="宋体" w:cs="宋体"/>
                <w:color w:val="000000"/>
                <w:kern w:val="0"/>
                <w:sz w:val="24"/>
                <w:szCs w:val="24"/>
              </w:rPr>
              <w:t>CRE</w:t>
            </w:r>
            <w:r w:rsidRPr="00E839AB">
              <w:rPr>
                <w:rFonts w:ascii="宋体" w:hAnsi="宋体" w:cs="宋体" w:hint="eastAsia"/>
                <w:color w:val="000000"/>
                <w:kern w:val="0"/>
                <w:sz w:val="24"/>
                <w:szCs w:val="24"/>
              </w:rPr>
              <w:t>）</w:t>
            </w:r>
          </w:p>
        </w:tc>
        <w:tc>
          <w:tcPr>
            <w:tcW w:w="1075" w:type="dxa"/>
            <w:vAlign w:val="center"/>
          </w:tcPr>
          <w:p w14:paraId="0BF3CFE7" w14:textId="77777777" w:rsidR="007C232A" w:rsidRPr="00E839AB" w:rsidRDefault="007C232A" w:rsidP="00BE3272">
            <w:pPr>
              <w:jc w:val="center"/>
              <w:rPr>
                <w:rFonts w:ascii="仿宋_GB2312" w:eastAsia="仿宋_GB2312"/>
                <w:sz w:val="24"/>
              </w:rPr>
            </w:pPr>
          </w:p>
        </w:tc>
      </w:tr>
      <w:tr w:rsidR="007C232A" w:rsidRPr="00E839AB" w14:paraId="04804B6C" w14:textId="77777777" w:rsidTr="00BE3272">
        <w:trPr>
          <w:trHeight w:val="462"/>
        </w:trPr>
        <w:tc>
          <w:tcPr>
            <w:tcW w:w="6847" w:type="dxa"/>
            <w:gridSpan w:val="3"/>
            <w:tcBorders>
              <w:bottom w:val="single" w:sz="8" w:space="0" w:color="auto"/>
            </w:tcBorders>
            <w:vAlign w:val="center"/>
          </w:tcPr>
          <w:p w14:paraId="558FDCFB" w14:textId="77777777" w:rsidR="007C232A" w:rsidRPr="00E839AB" w:rsidRDefault="007C232A" w:rsidP="00BE3272">
            <w:pPr>
              <w:jc w:val="center"/>
              <w:rPr>
                <w:rFonts w:ascii="仿宋_GB2312" w:eastAsia="仿宋_GB2312"/>
                <w:sz w:val="24"/>
              </w:rPr>
            </w:pPr>
            <w:r w:rsidRPr="00E839AB">
              <w:rPr>
                <w:rFonts w:ascii="宋体" w:hAnsi="宋体" w:cs="宋体" w:hint="eastAsia"/>
                <w:color w:val="000000"/>
                <w:kern w:val="0"/>
                <w:sz w:val="24"/>
                <w:szCs w:val="24"/>
              </w:rPr>
              <w:t>综合得分</w:t>
            </w:r>
          </w:p>
        </w:tc>
        <w:tc>
          <w:tcPr>
            <w:tcW w:w="1075" w:type="dxa"/>
            <w:tcBorders>
              <w:bottom w:val="single" w:sz="8" w:space="0" w:color="auto"/>
            </w:tcBorders>
            <w:vAlign w:val="center"/>
          </w:tcPr>
          <w:p w14:paraId="0B1D778E" w14:textId="77777777" w:rsidR="007C232A" w:rsidRPr="00E839AB" w:rsidRDefault="007C232A" w:rsidP="00BE3272">
            <w:pPr>
              <w:jc w:val="center"/>
              <w:rPr>
                <w:rFonts w:ascii="仿宋_GB2312" w:eastAsia="仿宋_GB2312"/>
                <w:sz w:val="24"/>
              </w:rPr>
            </w:pPr>
          </w:p>
        </w:tc>
      </w:tr>
    </w:tbl>
    <w:p w14:paraId="48DA10A0" w14:textId="77777777" w:rsidR="007C232A" w:rsidRDefault="007C232A" w:rsidP="007C232A">
      <w:pPr>
        <w:rPr>
          <w:rFonts w:ascii="仿宋_GB2312" w:eastAsia="仿宋_GB2312"/>
          <w:sz w:val="24"/>
        </w:rPr>
        <w:sectPr w:rsidR="007C232A" w:rsidSect="007D5CEE">
          <w:headerReference w:type="even" r:id="rId10"/>
          <w:headerReference w:type="default" r:id="rId11"/>
          <w:pgSz w:w="11906" w:h="16838"/>
          <w:pgMar w:top="1440" w:right="1797" w:bottom="1440" w:left="1797" w:header="851" w:footer="992" w:gutter="0"/>
          <w:cols w:space="425"/>
          <w:docGrid w:type="linesAndChars" w:linePitch="312"/>
        </w:sectPr>
      </w:pPr>
    </w:p>
    <w:p w14:paraId="70BCB246" w14:textId="77777777" w:rsidR="00943FE0" w:rsidRDefault="00943FE0" w:rsidP="006D1A10">
      <w:pPr>
        <w:pStyle w:val="af5"/>
        <w:widowControl/>
        <w:shd w:val="clear" w:color="auto" w:fill="FFFFFF"/>
        <w:spacing w:line="0" w:lineRule="atLeast"/>
      </w:pPr>
    </w:p>
    <w:sectPr w:rsidR="00943FE0" w:rsidSect="00D00E8C">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4F01" w14:textId="77777777" w:rsidR="005E5C1A" w:rsidRDefault="005E5C1A" w:rsidP="00DC6F60">
      <w:r>
        <w:separator/>
      </w:r>
    </w:p>
  </w:endnote>
  <w:endnote w:type="continuationSeparator" w:id="0">
    <w:p w14:paraId="04E5B553" w14:textId="77777777" w:rsidR="005E5C1A" w:rsidRDefault="005E5C1A" w:rsidP="00D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D4AE" w14:textId="77777777" w:rsidR="00BA34F8" w:rsidRDefault="00BA34F8" w:rsidP="00BE3272">
    <w:pPr>
      <w:pStyle w:val="ad"/>
      <w:framePr w:wrap="around" w:vAnchor="text" w:hAnchor="margin" w:xAlign="outside" w:y="1"/>
      <w:ind w:leftChars="150" w:left="315"/>
      <w:rPr>
        <w:rStyle w:val="af4"/>
        <w:sz w:val="24"/>
        <w:szCs w:val="24"/>
      </w:rPr>
    </w:pPr>
    <w:r>
      <w:rPr>
        <w:rStyle w:val="af4"/>
        <w:sz w:val="24"/>
        <w:szCs w:val="24"/>
      </w:rPr>
      <w:t>―</w:t>
    </w:r>
    <w:r>
      <w:rPr>
        <w:rStyle w:val="af4"/>
        <w:sz w:val="24"/>
        <w:szCs w:val="24"/>
      </w:rPr>
      <w:fldChar w:fldCharType="begin"/>
    </w:r>
    <w:r>
      <w:rPr>
        <w:rStyle w:val="af4"/>
        <w:sz w:val="24"/>
        <w:szCs w:val="24"/>
      </w:rPr>
      <w:instrText xml:space="preserve">PAGE  </w:instrText>
    </w:r>
    <w:r>
      <w:rPr>
        <w:rStyle w:val="af4"/>
        <w:sz w:val="24"/>
        <w:szCs w:val="24"/>
      </w:rPr>
      <w:fldChar w:fldCharType="separate"/>
    </w:r>
    <w:r>
      <w:rPr>
        <w:rStyle w:val="af4"/>
        <w:sz w:val="24"/>
        <w:szCs w:val="24"/>
      </w:rPr>
      <w:t>4</w:t>
    </w:r>
    <w:r>
      <w:rPr>
        <w:rStyle w:val="af4"/>
        <w:sz w:val="24"/>
        <w:szCs w:val="24"/>
      </w:rPr>
      <w:fldChar w:fldCharType="end"/>
    </w:r>
    <w:r>
      <w:rPr>
        <w:rStyle w:val="af4"/>
        <w:sz w:val="24"/>
        <w:szCs w:val="24"/>
      </w:rPr>
      <w:t>―</w:t>
    </w:r>
  </w:p>
  <w:p w14:paraId="339AD1E2" w14:textId="77777777" w:rsidR="00BA34F8" w:rsidRDefault="00BA34F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374640"/>
      <w:docPartObj>
        <w:docPartGallery w:val="Page Numbers (Bottom of Page)"/>
        <w:docPartUnique/>
      </w:docPartObj>
    </w:sdtPr>
    <w:sdtEndPr>
      <w:rPr>
        <w:rFonts w:ascii="Times New Roman" w:hAnsi="Times New Roman"/>
        <w:sz w:val="21"/>
      </w:rPr>
    </w:sdtEndPr>
    <w:sdtContent>
      <w:p w14:paraId="25B95691" w14:textId="77777777" w:rsidR="00BA34F8" w:rsidRPr="00147D42" w:rsidRDefault="00BA34F8" w:rsidP="00147D42">
        <w:pPr>
          <w:pStyle w:val="ad"/>
          <w:jc w:val="center"/>
          <w:rPr>
            <w:rFonts w:ascii="Times New Roman" w:hAnsi="Times New Roman"/>
            <w:sz w:val="21"/>
          </w:rPr>
        </w:pPr>
        <w:r w:rsidRPr="00147D42">
          <w:rPr>
            <w:rFonts w:ascii="Times New Roman" w:hAnsi="Times New Roman"/>
            <w:sz w:val="21"/>
          </w:rPr>
          <w:fldChar w:fldCharType="begin"/>
        </w:r>
        <w:r w:rsidRPr="00147D42">
          <w:rPr>
            <w:rFonts w:ascii="Times New Roman" w:hAnsi="Times New Roman"/>
            <w:sz w:val="21"/>
          </w:rPr>
          <w:instrText>PAGE   \* MERGEFORMAT</w:instrText>
        </w:r>
        <w:r w:rsidRPr="00147D42">
          <w:rPr>
            <w:rFonts w:ascii="Times New Roman" w:hAnsi="Times New Roman"/>
            <w:sz w:val="21"/>
          </w:rPr>
          <w:fldChar w:fldCharType="separate"/>
        </w:r>
        <w:r w:rsidR="006D1A10" w:rsidRPr="006D1A10">
          <w:rPr>
            <w:rFonts w:ascii="Times New Roman" w:hAnsi="Times New Roman"/>
            <w:noProof/>
            <w:sz w:val="21"/>
            <w:lang w:val="zh-CN"/>
          </w:rPr>
          <w:t>9</w:t>
        </w:r>
        <w:r w:rsidRPr="00147D42">
          <w:rPr>
            <w:rFonts w:ascii="Times New Roman" w:hAnsi="Times New Roman"/>
            <w:sz w:val="21"/>
          </w:rPr>
          <w:fldChar w:fldCharType="end"/>
        </w:r>
      </w:p>
    </w:sdtContent>
  </w:sdt>
  <w:p w14:paraId="523AC481" w14:textId="77777777" w:rsidR="00BA34F8" w:rsidRDefault="00BA34F8">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BA53" w14:textId="77777777" w:rsidR="005E5C1A" w:rsidRDefault="005E5C1A" w:rsidP="00DC6F60">
      <w:r>
        <w:separator/>
      </w:r>
    </w:p>
  </w:footnote>
  <w:footnote w:type="continuationSeparator" w:id="0">
    <w:p w14:paraId="6D5D33AD" w14:textId="77777777" w:rsidR="005E5C1A" w:rsidRDefault="005E5C1A" w:rsidP="00DC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9E51" w14:textId="77777777" w:rsidR="00BA34F8" w:rsidRDefault="00BA34F8" w:rsidP="00BE3272">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15C" w14:textId="77777777" w:rsidR="00BA34F8" w:rsidRDefault="00BA34F8" w:rsidP="00BE3272">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66"/>
    <w:multiLevelType w:val="hybridMultilevel"/>
    <w:tmpl w:val="C9148800"/>
    <w:lvl w:ilvl="0" w:tplc="6E3EDA06">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15:restartNumberingAfterBreak="0">
    <w:nsid w:val="0CD73A62"/>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15:restartNumberingAfterBreak="0">
    <w:nsid w:val="14C75139"/>
    <w:multiLevelType w:val="hybridMultilevel"/>
    <w:tmpl w:val="4BA468DA"/>
    <w:lvl w:ilvl="0" w:tplc="CE1CA238">
      <w:start w:val="1"/>
      <w:numFmt w:val="decimal"/>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 w15:restartNumberingAfterBreak="0">
    <w:nsid w:val="16F73B09"/>
    <w:multiLevelType w:val="multilevel"/>
    <w:tmpl w:val="16F73B09"/>
    <w:lvl w:ilvl="0">
      <w:start w:val="1"/>
      <w:numFmt w:val="japaneseCounting"/>
      <w:lvlText w:val="第%1章"/>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1FD142B"/>
    <w:multiLevelType w:val="hybridMultilevel"/>
    <w:tmpl w:val="CC766310"/>
    <w:lvl w:ilvl="0" w:tplc="E86C301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25084D82"/>
    <w:multiLevelType w:val="hybridMultilevel"/>
    <w:tmpl w:val="5D0E51AC"/>
    <w:lvl w:ilvl="0" w:tplc="E40645E4">
      <w:start w:val="2701"/>
      <w:numFmt w:val="bullet"/>
      <w:lvlText w:val="–"/>
      <w:lvlJc w:val="left"/>
      <w:pPr>
        <w:ind w:left="1260" w:hanging="420"/>
      </w:pPr>
      <w:rPr>
        <w:rFonts w:ascii="宋体" w:eastAsia="宋体"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65D7D93"/>
    <w:multiLevelType w:val="hybridMultilevel"/>
    <w:tmpl w:val="D5D87940"/>
    <w:lvl w:ilvl="0" w:tplc="04090019">
      <w:start w:val="1"/>
      <w:numFmt w:val="lowerLetter"/>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7" w15:restartNumberingAfterBreak="0">
    <w:nsid w:val="322273C8"/>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39693B99"/>
    <w:multiLevelType w:val="hybridMultilevel"/>
    <w:tmpl w:val="34E8323C"/>
    <w:lvl w:ilvl="0" w:tplc="1CD43A8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15:restartNumberingAfterBreak="0">
    <w:nsid w:val="39731F11"/>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15:restartNumberingAfterBreak="0">
    <w:nsid w:val="3DD55822"/>
    <w:multiLevelType w:val="hybridMultilevel"/>
    <w:tmpl w:val="F5E4F2C2"/>
    <w:lvl w:ilvl="0" w:tplc="EBBE814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15:restartNumberingAfterBreak="0">
    <w:nsid w:val="415D3E09"/>
    <w:multiLevelType w:val="hybridMultilevel"/>
    <w:tmpl w:val="77706728"/>
    <w:lvl w:ilvl="0" w:tplc="E40645E4">
      <w:start w:val="2701"/>
      <w:numFmt w:val="bullet"/>
      <w:lvlText w:val="–"/>
      <w:lvlJc w:val="left"/>
      <w:pPr>
        <w:ind w:left="420" w:hanging="420"/>
      </w:pPr>
      <w:rPr>
        <w:rFonts w:ascii="宋体" w:eastAsia="宋体" w:hint="default"/>
      </w:rPr>
    </w:lvl>
    <w:lvl w:ilvl="1" w:tplc="05028BA4">
      <w:start w:val="9"/>
      <w:numFmt w:val="bullet"/>
      <w:lvlText w:val="●"/>
      <w:lvlJc w:val="left"/>
      <w:pPr>
        <w:ind w:left="1035" w:hanging="615"/>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E40645E4">
      <w:start w:val="2701"/>
      <w:numFmt w:val="bullet"/>
      <w:lvlText w:val="–"/>
      <w:lvlJc w:val="left"/>
      <w:pPr>
        <w:ind w:left="2520" w:hanging="420"/>
      </w:pPr>
      <w:rPr>
        <w:rFonts w:ascii="宋体" w:eastAsia="宋体"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CC3424"/>
    <w:multiLevelType w:val="hybridMultilevel"/>
    <w:tmpl w:val="4BA468DA"/>
    <w:lvl w:ilvl="0" w:tplc="CE1CA238">
      <w:start w:val="1"/>
      <w:numFmt w:val="decimal"/>
      <w:lvlText w:val="%1）"/>
      <w:lvlJc w:val="left"/>
      <w:pPr>
        <w:ind w:left="1270" w:hanging="420"/>
      </w:pPr>
      <w:rPr>
        <w:rFonts w:cs="Times New Roman" w:hint="default"/>
      </w:rPr>
    </w:lvl>
    <w:lvl w:ilvl="1" w:tplc="04090019">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13" w15:restartNumberingAfterBreak="0">
    <w:nsid w:val="4B8D169F"/>
    <w:multiLevelType w:val="hybridMultilevel"/>
    <w:tmpl w:val="F2DEE936"/>
    <w:lvl w:ilvl="0" w:tplc="E0942842">
      <w:start w:val="1"/>
      <w:numFmt w:val="decimal"/>
      <w:lvlText w:val="%1"/>
      <w:lvlJc w:val="right"/>
      <w:pPr>
        <w:tabs>
          <w:tab w:val="num" w:pos="166"/>
        </w:tabs>
        <w:ind w:left="166"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15:restartNumberingAfterBreak="0">
    <w:nsid w:val="63AB6273"/>
    <w:multiLevelType w:val="hybridMultilevel"/>
    <w:tmpl w:val="5C827EFE"/>
    <w:lvl w:ilvl="0" w:tplc="87EE5986">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15:restartNumberingAfterBreak="0">
    <w:nsid w:val="689449FD"/>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698727C8"/>
    <w:multiLevelType w:val="hybridMultilevel"/>
    <w:tmpl w:val="CCC2DCC0"/>
    <w:lvl w:ilvl="0" w:tplc="E580125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15:restartNumberingAfterBreak="0">
    <w:nsid w:val="6CEA2025"/>
    <w:multiLevelType w:val="multilevel"/>
    <w:tmpl w:val="56E61704"/>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rPr>
    </w:lvl>
    <w:lvl w:ilvl="8">
      <w:start w:val="1"/>
      <w:numFmt w:val="decimal"/>
      <w:lvlText w:val="%1.%2.%3.%4.%5.%6.%7.%8.%9"/>
      <w:lvlJc w:val="left"/>
      <w:pPr>
        <w:tabs>
          <w:tab w:val="num" w:pos="4777"/>
        </w:tabs>
        <w:ind w:left="4677" w:hanging="1700"/>
      </w:pPr>
      <w:rPr>
        <w:rFonts w:cs="Times New Roman"/>
      </w:rPr>
    </w:lvl>
  </w:abstractNum>
  <w:abstractNum w:abstractNumId="18" w15:restartNumberingAfterBreak="0">
    <w:nsid w:val="6E4D3C4E"/>
    <w:multiLevelType w:val="hybridMultilevel"/>
    <w:tmpl w:val="689C9E98"/>
    <w:lvl w:ilvl="0" w:tplc="3CBEBE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15:restartNumberingAfterBreak="0">
    <w:nsid w:val="75FE7558"/>
    <w:multiLevelType w:val="hybridMultilevel"/>
    <w:tmpl w:val="F7FE8B5E"/>
    <w:lvl w:ilvl="0" w:tplc="A6AE05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15:restartNumberingAfterBreak="0">
    <w:nsid w:val="77037C93"/>
    <w:multiLevelType w:val="hybridMultilevel"/>
    <w:tmpl w:val="B9B6E9B8"/>
    <w:lvl w:ilvl="0" w:tplc="9026AB00">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1" w15:restartNumberingAfterBreak="0">
    <w:nsid w:val="7BBA6F33"/>
    <w:multiLevelType w:val="hybridMultilevel"/>
    <w:tmpl w:val="8F10D60E"/>
    <w:lvl w:ilvl="0" w:tplc="DBACD7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15:restartNumberingAfterBreak="0">
    <w:nsid w:val="7EE60CE5"/>
    <w:multiLevelType w:val="multilevel"/>
    <w:tmpl w:val="7BBA6F3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15:restartNumberingAfterBreak="0">
    <w:nsid w:val="7F2A516D"/>
    <w:multiLevelType w:val="hybridMultilevel"/>
    <w:tmpl w:val="212CD774"/>
    <w:lvl w:ilvl="0" w:tplc="567C4E1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4"/>
  </w:num>
  <w:num w:numId="2">
    <w:abstractNumId w:val="20"/>
  </w:num>
  <w:num w:numId="3">
    <w:abstractNumId w:val="0"/>
  </w:num>
  <w:num w:numId="4">
    <w:abstractNumId w:val="10"/>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7"/>
  </w:num>
  <w:num w:numId="18">
    <w:abstractNumId w:val="15"/>
  </w:num>
  <w:num w:numId="19">
    <w:abstractNumId w:val="2"/>
  </w:num>
  <w:num w:numId="20">
    <w:abstractNumId w:val="5"/>
  </w:num>
  <w:num w:numId="21">
    <w:abstractNumId w:val="6"/>
  </w:num>
  <w:num w:numId="22">
    <w:abstractNumId w:val="11"/>
  </w:num>
  <w:num w:numId="23">
    <w:abstractNumId w:val="1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44"/>
    <w:rsid w:val="000038CC"/>
    <w:rsid w:val="00013DCA"/>
    <w:rsid w:val="00023539"/>
    <w:rsid w:val="00027929"/>
    <w:rsid w:val="0005553D"/>
    <w:rsid w:val="00062071"/>
    <w:rsid w:val="00065E03"/>
    <w:rsid w:val="00092748"/>
    <w:rsid w:val="00097959"/>
    <w:rsid w:val="000A64A7"/>
    <w:rsid w:val="000B1524"/>
    <w:rsid w:val="000B6AA0"/>
    <w:rsid w:val="000C63B2"/>
    <w:rsid w:val="000C7A72"/>
    <w:rsid w:val="000D7294"/>
    <w:rsid w:val="000D73A6"/>
    <w:rsid w:val="001025EC"/>
    <w:rsid w:val="00102B3D"/>
    <w:rsid w:val="00110698"/>
    <w:rsid w:val="001126AA"/>
    <w:rsid w:val="00114D1F"/>
    <w:rsid w:val="0012463C"/>
    <w:rsid w:val="001327DB"/>
    <w:rsid w:val="00134A5B"/>
    <w:rsid w:val="0014141C"/>
    <w:rsid w:val="00147D42"/>
    <w:rsid w:val="00151A59"/>
    <w:rsid w:val="00156202"/>
    <w:rsid w:val="001626CB"/>
    <w:rsid w:val="00164146"/>
    <w:rsid w:val="001706C4"/>
    <w:rsid w:val="00172F44"/>
    <w:rsid w:val="0017445A"/>
    <w:rsid w:val="00180CA7"/>
    <w:rsid w:val="00183953"/>
    <w:rsid w:val="00185E35"/>
    <w:rsid w:val="00196478"/>
    <w:rsid w:val="001A2812"/>
    <w:rsid w:val="001C4E12"/>
    <w:rsid w:val="001D1737"/>
    <w:rsid w:val="001D2115"/>
    <w:rsid w:val="001D41BE"/>
    <w:rsid w:val="001F0EF5"/>
    <w:rsid w:val="001F0F8F"/>
    <w:rsid w:val="001F4208"/>
    <w:rsid w:val="001F7318"/>
    <w:rsid w:val="00217C9F"/>
    <w:rsid w:val="00220DA3"/>
    <w:rsid w:val="002241BD"/>
    <w:rsid w:val="0022666F"/>
    <w:rsid w:val="0024068C"/>
    <w:rsid w:val="00246DDB"/>
    <w:rsid w:val="002523FA"/>
    <w:rsid w:val="00255BD8"/>
    <w:rsid w:val="00275BA6"/>
    <w:rsid w:val="00277A74"/>
    <w:rsid w:val="00281D0D"/>
    <w:rsid w:val="002A4F0C"/>
    <w:rsid w:val="002A7306"/>
    <w:rsid w:val="002B2260"/>
    <w:rsid w:val="002C071F"/>
    <w:rsid w:val="002C2364"/>
    <w:rsid w:val="002D0051"/>
    <w:rsid w:val="002D5B8F"/>
    <w:rsid w:val="00312747"/>
    <w:rsid w:val="00322DB3"/>
    <w:rsid w:val="00330298"/>
    <w:rsid w:val="00332455"/>
    <w:rsid w:val="0034007C"/>
    <w:rsid w:val="00341ED9"/>
    <w:rsid w:val="00345738"/>
    <w:rsid w:val="00366C8C"/>
    <w:rsid w:val="00370011"/>
    <w:rsid w:val="003717AE"/>
    <w:rsid w:val="003748DE"/>
    <w:rsid w:val="0037605D"/>
    <w:rsid w:val="003849AB"/>
    <w:rsid w:val="00391B82"/>
    <w:rsid w:val="003A7A3B"/>
    <w:rsid w:val="003B58AD"/>
    <w:rsid w:val="003D420F"/>
    <w:rsid w:val="003F1855"/>
    <w:rsid w:val="003F5EAB"/>
    <w:rsid w:val="0040028F"/>
    <w:rsid w:val="00400594"/>
    <w:rsid w:val="004156F3"/>
    <w:rsid w:val="0041745F"/>
    <w:rsid w:val="00417D97"/>
    <w:rsid w:val="00422468"/>
    <w:rsid w:val="00432C35"/>
    <w:rsid w:val="00453839"/>
    <w:rsid w:val="00465443"/>
    <w:rsid w:val="0046699F"/>
    <w:rsid w:val="00474BB1"/>
    <w:rsid w:val="00476D38"/>
    <w:rsid w:val="00486142"/>
    <w:rsid w:val="0048681E"/>
    <w:rsid w:val="004919B7"/>
    <w:rsid w:val="004B0C62"/>
    <w:rsid w:val="004B710B"/>
    <w:rsid w:val="004C1674"/>
    <w:rsid w:val="004C17AC"/>
    <w:rsid w:val="004C64F0"/>
    <w:rsid w:val="004D41A4"/>
    <w:rsid w:val="004D6168"/>
    <w:rsid w:val="004D6228"/>
    <w:rsid w:val="004F7DD5"/>
    <w:rsid w:val="00501B8B"/>
    <w:rsid w:val="0051203A"/>
    <w:rsid w:val="0052225D"/>
    <w:rsid w:val="0052409B"/>
    <w:rsid w:val="00524638"/>
    <w:rsid w:val="005552E2"/>
    <w:rsid w:val="00564FA0"/>
    <w:rsid w:val="00573437"/>
    <w:rsid w:val="00574ACF"/>
    <w:rsid w:val="00586048"/>
    <w:rsid w:val="005873FF"/>
    <w:rsid w:val="005A0C72"/>
    <w:rsid w:val="005A2B71"/>
    <w:rsid w:val="005A738C"/>
    <w:rsid w:val="005D4743"/>
    <w:rsid w:val="005D7C75"/>
    <w:rsid w:val="005E5C1A"/>
    <w:rsid w:val="005F1B61"/>
    <w:rsid w:val="00603633"/>
    <w:rsid w:val="00603EF1"/>
    <w:rsid w:val="00613B86"/>
    <w:rsid w:val="00614393"/>
    <w:rsid w:val="00615D1F"/>
    <w:rsid w:val="006246DA"/>
    <w:rsid w:val="00624AB4"/>
    <w:rsid w:val="006331E7"/>
    <w:rsid w:val="006352AA"/>
    <w:rsid w:val="00636BEB"/>
    <w:rsid w:val="00647746"/>
    <w:rsid w:val="00656091"/>
    <w:rsid w:val="00664F9A"/>
    <w:rsid w:val="00671FD8"/>
    <w:rsid w:val="0068113A"/>
    <w:rsid w:val="006A0B77"/>
    <w:rsid w:val="006A719C"/>
    <w:rsid w:val="006B018C"/>
    <w:rsid w:val="006C06E0"/>
    <w:rsid w:val="006C7030"/>
    <w:rsid w:val="006D1A10"/>
    <w:rsid w:val="00700A99"/>
    <w:rsid w:val="0070193A"/>
    <w:rsid w:val="00724F17"/>
    <w:rsid w:val="00727523"/>
    <w:rsid w:val="00740FED"/>
    <w:rsid w:val="00746BA6"/>
    <w:rsid w:val="00753E9A"/>
    <w:rsid w:val="00786EC1"/>
    <w:rsid w:val="007A00A4"/>
    <w:rsid w:val="007B0772"/>
    <w:rsid w:val="007B5720"/>
    <w:rsid w:val="007C1795"/>
    <w:rsid w:val="007C232A"/>
    <w:rsid w:val="007D10D7"/>
    <w:rsid w:val="007D460D"/>
    <w:rsid w:val="007D5CEE"/>
    <w:rsid w:val="007D7B69"/>
    <w:rsid w:val="007E3291"/>
    <w:rsid w:val="008025E8"/>
    <w:rsid w:val="008420D6"/>
    <w:rsid w:val="00850DE1"/>
    <w:rsid w:val="00872BA0"/>
    <w:rsid w:val="00877820"/>
    <w:rsid w:val="0088163B"/>
    <w:rsid w:val="008B29A5"/>
    <w:rsid w:val="008C1B24"/>
    <w:rsid w:val="008E1CCB"/>
    <w:rsid w:val="008E3414"/>
    <w:rsid w:val="008E6674"/>
    <w:rsid w:val="008F668C"/>
    <w:rsid w:val="00900776"/>
    <w:rsid w:val="00901BDA"/>
    <w:rsid w:val="00913C38"/>
    <w:rsid w:val="00943FE0"/>
    <w:rsid w:val="00943FED"/>
    <w:rsid w:val="009565E9"/>
    <w:rsid w:val="00976F5A"/>
    <w:rsid w:val="00981038"/>
    <w:rsid w:val="00994A9E"/>
    <w:rsid w:val="00995F28"/>
    <w:rsid w:val="009B0F06"/>
    <w:rsid w:val="009B4C76"/>
    <w:rsid w:val="009B699C"/>
    <w:rsid w:val="009C3AF5"/>
    <w:rsid w:val="009D4971"/>
    <w:rsid w:val="009E3810"/>
    <w:rsid w:val="009E5AF0"/>
    <w:rsid w:val="009F2E46"/>
    <w:rsid w:val="009F3F1C"/>
    <w:rsid w:val="009F5EFE"/>
    <w:rsid w:val="00A268E2"/>
    <w:rsid w:val="00A51FCB"/>
    <w:rsid w:val="00A52918"/>
    <w:rsid w:val="00A71020"/>
    <w:rsid w:val="00A724AF"/>
    <w:rsid w:val="00A72EBB"/>
    <w:rsid w:val="00AA3D33"/>
    <w:rsid w:val="00AA7480"/>
    <w:rsid w:val="00AB1871"/>
    <w:rsid w:val="00AB772B"/>
    <w:rsid w:val="00AE007F"/>
    <w:rsid w:val="00AF482D"/>
    <w:rsid w:val="00AF64EF"/>
    <w:rsid w:val="00B0649E"/>
    <w:rsid w:val="00B31B44"/>
    <w:rsid w:val="00B51EF5"/>
    <w:rsid w:val="00B52032"/>
    <w:rsid w:val="00B60983"/>
    <w:rsid w:val="00B705AF"/>
    <w:rsid w:val="00B74BEB"/>
    <w:rsid w:val="00B777FC"/>
    <w:rsid w:val="00B8373F"/>
    <w:rsid w:val="00B84362"/>
    <w:rsid w:val="00BA01AF"/>
    <w:rsid w:val="00BA08E1"/>
    <w:rsid w:val="00BA34F8"/>
    <w:rsid w:val="00BB0370"/>
    <w:rsid w:val="00BB44B8"/>
    <w:rsid w:val="00BB574B"/>
    <w:rsid w:val="00BB768B"/>
    <w:rsid w:val="00BC251F"/>
    <w:rsid w:val="00BC77D4"/>
    <w:rsid w:val="00BD1F1B"/>
    <w:rsid w:val="00BE17EA"/>
    <w:rsid w:val="00BE3272"/>
    <w:rsid w:val="00BE45DD"/>
    <w:rsid w:val="00BE6CD3"/>
    <w:rsid w:val="00BE7232"/>
    <w:rsid w:val="00BF2033"/>
    <w:rsid w:val="00C21684"/>
    <w:rsid w:val="00C24ACD"/>
    <w:rsid w:val="00C514E4"/>
    <w:rsid w:val="00C61F8C"/>
    <w:rsid w:val="00C62679"/>
    <w:rsid w:val="00C80F96"/>
    <w:rsid w:val="00C81FC2"/>
    <w:rsid w:val="00C8297A"/>
    <w:rsid w:val="00C90C58"/>
    <w:rsid w:val="00C913F1"/>
    <w:rsid w:val="00CA2CEB"/>
    <w:rsid w:val="00CA6500"/>
    <w:rsid w:val="00CB187A"/>
    <w:rsid w:val="00CB3C62"/>
    <w:rsid w:val="00CC01F3"/>
    <w:rsid w:val="00CC2123"/>
    <w:rsid w:val="00CD4B3E"/>
    <w:rsid w:val="00CE02B2"/>
    <w:rsid w:val="00CE0469"/>
    <w:rsid w:val="00CF08EF"/>
    <w:rsid w:val="00CF5772"/>
    <w:rsid w:val="00D00E8C"/>
    <w:rsid w:val="00D025F2"/>
    <w:rsid w:val="00D239B2"/>
    <w:rsid w:val="00D23C28"/>
    <w:rsid w:val="00D3082F"/>
    <w:rsid w:val="00D35E1A"/>
    <w:rsid w:val="00D47704"/>
    <w:rsid w:val="00D86417"/>
    <w:rsid w:val="00D951E4"/>
    <w:rsid w:val="00DA753C"/>
    <w:rsid w:val="00DC6F60"/>
    <w:rsid w:val="00DF2A2E"/>
    <w:rsid w:val="00E02CE5"/>
    <w:rsid w:val="00E11C8A"/>
    <w:rsid w:val="00E1431F"/>
    <w:rsid w:val="00E17106"/>
    <w:rsid w:val="00E339A2"/>
    <w:rsid w:val="00E642C6"/>
    <w:rsid w:val="00E74639"/>
    <w:rsid w:val="00E76E3B"/>
    <w:rsid w:val="00E82705"/>
    <w:rsid w:val="00E920E7"/>
    <w:rsid w:val="00E93C6A"/>
    <w:rsid w:val="00EB33C4"/>
    <w:rsid w:val="00ED2BB3"/>
    <w:rsid w:val="00EF24F9"/>
    <w:rsid w:val="00EF3421"/>
    <w:rsid w:val="00EF6CBD"/>
    <w:rsid w:val="00F02D46"/>
    <w:rsid w:val="00F11171"/>
    <w:rsid w:val="00F141A9"/>
    <w:rsid w:val="00F148D3"/>
    <w:rsid w:val="00F17045"/>
    <w:rsid w:val="00F21D60"/>
    <w:rsid w:val="00F25407"/>
    <w:rsid w:val="00F32B9B"/>
    <w:rsid w:val="00F42E39"/>
    <w:rsid w:val="00F43C7F"/>
    <w:rsid w:val="00F46558"/>
    <w:rsid w:val="00F552A7"/>
    <w:rsid w:val="00F7396E"/>
    <w:rsid w:val="00F7639E"/>
    <w:rsid w:val="00F8074C"/>
    <w:rsid w:val="00F80E3A"/>
    <w:rsid w:val="00F81AFD"/>
    <w:rsid w:val="00F82837"/>
    <w:rsid w:val="00F86822"/>
    <w:rsid w:val="00F90C59"/>
    <w:rsid w:val="00F92AA2"/>
    <w:rsid w:val="00FB6FBC"/>
    <w:rsid w:val="00FC35D1"/>
    <w:rsid w:val="00FD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6B0AD3F"/>
  <w15:docId w15:val="{C8383788-FB4F-429A-B5F6-5F1CDD7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32A"/>
    <w:pPr>
      <w:widowControl w:val="0"/>
      <w:jc w:val="both"/>
    </w:pPr>
    <w:rPr>
      <w:rFonts w:ascii="Calibri" w:eastAsia="宋体" w:hAnsi="Calibri" w:cs="Times New Roman"/>
    </w:rPr>
  </w:style>
  <w:style w:type="paragraph" w:styleId="1">
    <w:name w:val="heading 1"/>
    <w:basedOn w:val="a"/>
    <w:next w:val="a"/>
    <w:link w:val="10"/>
    <w:uiPriority w:val="99"/>
    <w:qFormat/>
    <w:rsid w:val="007C232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9"/>
    <w:qFormat/>
    <w:rsid w:val="00AB772B"/>
    <w:pPr>
      <w:keepNext/>
      <w:keepLines/>
      <w:spacing w:before="260" w:after="260" w:line="416" w:lineRule="auto"/>
      <w:outlineLvl w:val="1"/>
    </w:pPr>
    <w:rPr>
      <w:rFonts w:ascii="Cambria" w:hAnsi="Cambria"/>
      <w:b/>
      <w:bCs/>
      <w:kern w:val="0"/>
      <w:sz w:val="32"/>
      <w:szCs w:val="32"/>
    </w:rPr>
  </w:style>
  <w:style w:type="paragraph" w:styleId="3">
    <w:name w:val="heading 3"/>
    <w:basedOn w:val="a"/>
    <w:link w:val="30"/>
    <w:uiPriority w:val="9"/>
    <w:qFormat/>
    <w:rsid w:val="007C23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7C232A"/>
    <w:rPr>
      <w:rFonts w:ascii="Times New Roman" w:eastAsia="宋体" w:hAnsi="Times New Roman" w:cs="Times New Roman"/>
      <w:b/>
      <w:bCs/>
      <w:kern w:val="44"/>
      <w:sz w:val="44"/>
      <w:szCs w:val="44"/>
    </w:rPr>
  </w:style>
  <w:style w:type="character" w:customStyle="1" w:styleId="20">
    <w:name w:val="标题 2 字符"/>
    <w:basedOn w:val="a0"/>
    <w:link w:val="2"/>
    <w:uiPriority w:val="99"/>
    <w:rsid w:val="00AB772B"/>
    <w:rPr>
      <w:rFonts w:ascii="Cambria" w:eastAsia="宋体" w:hAnsi="Cambria" w:cs="Times New Roman"/>
      <w:b/>
      <w:bCs/>
      <w:kern w:val="0"/>
      <w:sz w:val="32"/>
      <w:szCs w:val="32"/>
    </w:rPr>
  </w:style>
  <w:style w:type="character" w:customStyle="1" w:styleId="30">
    <w:name w:val="标题 3 字符"/>
    <w:basedOn w:val="a0"/>
    <w:link w:val="3"/>
    <w:uiPriority w:val="9"/>
    <w:rsid w:val="007C232A"/>
    <w:rPr>
      <w:rFonts w:ascii="宋体" w:eastAsia="宋体" w:hAnsi="宋体" w:cs="宋体"/>
      <w:b/>
      <w:bCs/>
      <w:kern w:val="0"/>
      <w:sz w:val="27"/>
      <w:szCs w:val="27"/>
    </w:rPr>
  </w:style>
  <w:style w:type="paragraph" w:styleId="a3">
    <w:name w:val="List Paragraph"/>
    <w:basedOn w:val="a"/>
    <w:uiPriority w:val="99"/>
    <w:qFormat/>
    <w:rsid w:val="007C232A"/>
    <w:pPr>
      <w:ind w:firstLineChars="200" w:firstLine="420"/>
    </w:pPr>
  </w:style>
  <w:style w:type="table" w:styleId="a4">
    <w:name w:val="Table Grid"/>
    <w:basedOn w:val="a1"/>
    <w:uiPriority w:val="99"/>
    <w:rsid w:val="007C23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7C232A"/>
    <w:rPr>
      <w:sz w:val="18"/>
      <w:szCs w:val="18"/>
    </w:rPr>
  </w:style>
  <w:style w:type="character" w:customStyle="1" w:styleId="a6">
    <w:name w:val="批注框文本 字符"/>
    <w:basedOn w:val="a0"/>
    <w:link w:val="a5"/>
    <w:uiPriority w:val="99"/>
    <w:rsid w:val="007C232A"/>
    <w:rPr>
      <w:rFonts w:ascii="Calibri" w:eastAsia="宋体" w:hAnsi="Calibri" w:cs="Times New Roman"/>
      <w:sz w:val="18"/>
      <w:szCs w:val="18"/>
    </w:rPr>
  </w:style>
  <w:style w:type="character" w:styleId="a7">
    <w:name w:val="Hyperlink"/>
    <w:uiPriority w:val="99"/>
    <w:unhideWhenUsed/>
    <w:rsid w:val="007C232A"/>
    <w:rPr>
      <w:color w:val="0000FF"/>
      <w:u w:val="single"/>
    </w:rPr>
  </w:style>
  <w:style w:type="character" w:styleId="a8">
    <w:name w:val="Emphasis"/>
    <w:uiPriority w:val="20"/>
    <w:qFormat/>
    <w:rsid w:val="007C232A"/>
    <w:rPr>
      <w:i/>
      <w:iCs/>
    </w:rPr>
  </w:style>
  <w:style w:type="paragraph" w:styleId="a9">
    <w:name w:val="Body Text"/>
    <w:basedOn w:val="a"/>
    <w:link w:val="aa"/>
    <w:uiPriority w:val="99"/>
    <w:rsid w:val="007C232A"/>
    <w:pPr>
      <w:adjustRightInd w:val="0"/>
      <w:snapToGrid w:val="0"/>
      <w:spacing w:line="360" w:lineRule="auto"/>
      <w:jc w:val="center"/>
    </w:pPr>
    <w:rPr>
      <w:rFonts w:ascii="华文中宋" w:eastAsia="华文中宋" w:hAnsi="华文中宋"/>
      <w:sz w:val="72"/>
      <w:szCs w:val="52"/>
    </w:rPr>
  </w:style>
  <w:style w:type="character" w:customStyle="1" w:styleId="aa">
    <w:name w:val="正文文本 字符"/>
    <w:basedOn w:val="a0"/>
    <w:link w:val="a9"/>
    <w:uiPriority w:val="99"/>
    <w:rsid w:val="007C232A"/>
    <w:rPr>
      <w:rFonts w:ascii="华文中宋" w:eastAsia="华文中宋" w:hAnsi="华文中宋" w:cs="Times New Roman"/>
      <w:sz w:val="72"/>
      <w:szCs w:val="52"/>
    </w:rPr>
  </w:style>
  <w:style w:type="paragraph" w:styleId="ab">
    <w:name w:val="header"/>
    <w:basedOn w:val="a"/>
    <w:link w:val="ac"/>
    <w:uiPriority w:val="99"/>
    <w:unhideWhenUsed/>
    <w:rsid w:val="007C232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7C232A"/>
    <w:rPr>
      <w:rFonts w:ascii="Calibri" w:eastAsia="宋体" w:hAnsi="Calibri" w:cs="Times New Roman"/>
      <w:sz w:val="18"/>
      <w:szCs w:val="18"/>
    </w:rPr>
  </w:style>
  <w:style w:type="paragraph" w:styleId="ad">
    <w:name w:val="footer"/>
    <w:basedOn w:val="a"/>
    <w:link w:val="ae"/>
    <w:uiPriority w:val="99"/>
    <w:unhideWhenUsed/>
    <w:rsid w:val="007C232A"/>
    <w:pPr>
      <w:tabs>
        <w:tab w:val="center" w:pos="4153"/>
        <w:tab w:val="right" w:pos="8306"/>
      </w:tabs>
      <w:snapToGrid w:val="0"/>
      <w:jc w:val="left"/>
    </w:pPr>
    <w:rPr>
      <w:sz w:val="18"/>
      <w:szCs w:val="18"/>
    </w:rPr>
  </w:style>
  <w:style w:type="character" w:customStyle="1" w:styleId="ae">
    <w:name w:val="页脚 字符"/>
    <w:basedOn w:val="a0"/>
    <w:link w:val="ad"/>
    <w:uiPriority w:val="99"/>
    <w:rsid w:val="007C232A"/>
    <w:rPr>
      <w:rFonts w:ascii="Calibri" w:eastAsia="宋体" w:hAnsi="Calibri" w:cs="Times New Roman"/>
      <w:sz w:val="18"/>
      <w:szCs w:val="18"/>
    </w:rPr>
  </w:style>
  <w:style w:type="character" w:styleId="af">
    <w:name w:val="annotation reference"/>
    <w:uiPriority w:val="99"/>
    <w:unhideWhenUsed/>
    <w:rsid w:val="007C232A"/>
    <w:rPr>
      <w:sz w:val="21"/>
      <w:szCs w:val="21"/>
    </w:rPr>
  </w:style>
  <w:style w:type="paragraph" w:styleId="af0">
    <w:name w:val="annotation text"/>
    <w:basedOn w:val="a"/>
    <w:link w:val="af1"/>
    <w:uiPriority w:val="99"/>
    <w:unhideWhenUsed/>
    <w:rsid w:val="007C232A"/>
    <w:pPr>
      <w:jc w:val="left"/>
    </w:pPr>
  </w:style>
  <w:style w:type="character" w:customStyle="1" w:styleId="af1">
    <w:name w:val="批注文字 字符"/>
    <w:basedOn w:val="a0"/>
    <w:link w:val="af0"/>
    <w:uiPriority w:val="99"/>
    <w:rsid w:val="007C232A"/>
    <w:rPr>
      <w:rFonts w:ascii="Calibri" w:eastAsia="宋体" w:hAnsi="Calibri" w:cs="Times New Roman"/>
    </w:rPr>
  </w:style>
  <w:style w:type="paragraph" w:styleId="af2">
    <w:name w:val="annotation subject"/>
    <w:basedOn w:val="af0"/>
    <w:next w:val="af0"/>
    <w:link w:val="af3"/>
    <w:uiPriority w:val="99"/>
    <w:unhideWhenUsed/>
    <w:rsid w:val="007C232A"/>
    <w:rPr>
      <w:b/>
      <w:bCs/>
    </w:rPr>
  </w:style>
  <w:style w:type="character" w:customStyle="1" w:styleId="af3">
    <w:name w:val="批注主题 字符"/>
    <w:basedOn w:val="af1"/>
    <w:link w:val="af2"/>
    <w:uiPriority w:val="99"/>
    <w:rsid w:val="007C232A"/>
    <w:rPr>
      <w:rFonts w:ascii="Calibri" w:eastAsia="宋体" w:hAnsi="Calibri" w:cs="Times New Roman"/>
      <w:b/>
      <w:bCs/>
    </w:rPr>
  </w:style>
  <w:style w:type="paragraph" w:customStyle="1" w:styleId="style8">
    <w:name w:val="style8"/>
    <w:basedOn w:val="a"/>
    <w:uiPriority w:val="99"/>
    <w:rsid w:val="007C232A"/>
    <w:pPr>
      <w:widowControl/>
      <w:spacing w:before="100" w:beforeAutospacing="1" w:after="100" w:afterAutospacing="1"/>
      <w:jc w:val="left"/>
    </w:pPr>
    <w:rPr>
      <w:rFonts w:ascii="宋体" w:hAnsi="宋体" w:cs="宋体"/>
      <w:kern w:val="0"/>
      <w:sz w:val="24"/>
      <w:szCs w:val="24"/>
    </w:rPr>
  </w:style>
  <w:style w:type="character" w:styleId="af4">
    <w:name w:val="page number"/>
    <w:uiPriority w:val="99"/>
    <w:rsid w:val="007C232A"/>
    <w:rPr>
      <w:rFonts w:cs="Times New Roman"/>
    </w:rPr>
  </w:style>
  <w:style w:type="table" w:customStyle="1" w:styleId="11">
    <w:name w:val="网格型1"/>
    <w:basedOn w:val="a1"/>
    <w:next w:val="a4"/>
    <w:uiPriority w:val="99"/>
    <w:rsid w:val="007C23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7C232A"/>
    <w:pPr>
      <w:widowControl/>
      <w:spacing w:before="100" w:beforeAutospacing="1" w:after="100" w:afterAutospacing="1"/>
      <w:jc w:val="left"/>
    </w:pPr>
    <w:rPr>
      <w:rFonts w:ascii="宋体" w:hAnsi="宋体" w:cs="宋体"/>
      <w:b/>
      <w:bCs/>
      <w:kern w:val="0"/>
      <w:sz w:val="28"/>
      <w:szCs w:val="28"/>
    </w:rPr>
  </w:style>
  <w:style w:type="paragraph" w:styleId="af5">
    <w:name w:val="Normal (Web)"/>
    <w:basedOn w:val="a"/>
    <w:uiPriority w:val="99"/>
    <w:qFormat/>
    <w:rsid w:val="007C232A"/>
    <w:rPr>
      <w:rFonts w:ascii="Times New Roman" w:hAnsi="Times New Roman"/>
      <w:sz w:val="24"/>
      <w:szCs w:val="24"/>
    </w:rPr>
  </w:style>
  <w:style w:type="paragraph" w:customStyle="1" w:styleId="Char">
    <w:name w:val="Char"/>
    <w:basedOn w:val="a"/>
    <w:uiPriority w:val="99"/>
    <w:rsid w:val="007C232A"/>
    <w:rPr>
      <w:rFonts w:ascii="Times New Roman" w:hAnsi="Times New Roman"/>
      <w:szCs w:val="24"/>
    </w:rPr>
  </w:style>
  <w:style w:type="paragraph" w:styleId="af6">
    <w:name w:val="Body Text Indent"/>
    <w:basedOn w:val="a"/>
    <w:link w:val="af7"/>
    <w:uiPriority w:val="99"/>
    <w:rsid w:val="007C232A"/>
    <w:pPr>
      <w:spacing w:line="580" w:lineRule="exact"/>
      <w:ind w:firstLineChars="200" w:firstLine="560"/>
    </w:pPr>
    <w:rPr>
      <w:rFonts w:ascii="Times New Roman" w:eastAsia="仿宋_GB2312" w:hAnsi="Times New Roman"/>
      <w:color w:val="FF0000"/>
      <w:sz w:val="28"/>
      <w:szCs w:val="28"/>
    </w:rPr>
  </w:style>
  <w:style w:type="character" w:customStyle="1" w:styleId="af7">
    <w:name w:val="正文文本缩进 字符"/>
    <w:basedOn w:val="a0"/>
    <w:link w:val="af6"/>
    <w:uiPriority w:val="99"/>
    <w:rsid w:val="007C232A"/>
    <w:rPr>
      <w:rFonts w:ascii="Times New Roman" w:eastAsia="仿宋_GB2312" w:hAnsi="Times New Roman" w:cs="Times New Roman"/>
      <w:color w:val="FF0000"/>
      <w:sz w:val="28"/>
      <w:szCs w:val="28"/>
    </w:rPr>
  </w:style>
  <w:style w:type="paragraph" w:customStyle="1" w:styleId="style13">
    <w:name w:val="style13"/>
    <w:basedOn w:val="a"/>
    <w:uiPriority w:val="99"/>
    <w:rsid w:val="007C232A"/>
    <w:pPr>
      <w:widowControl/>
      <w:spacing w:before="100" w:beforeAutospacing="1" w:after="100" w:afterAutospacing="1"/>
      <w:jc w:val="left"/>
    </w:pPr>
    <w:rPr>
      <w:rFonts w:ascii="宋体" w:hAnsi="宋体" w:cs="宋体"/>
      <w:b/>
      <w:bCs/>
      <w:kern w:val="0"/>
      <w:sz w:val="24"/>
      <w:szCs w:val="24"/>
    </w:rPr>
  </w:style>
  <w:style w:type="character" w:customStyle="1" w:styleId="style71">
    <w:name w:val="style71"/>
    <w:basedOn w:val="a0"/>
    <w:uiPriority w:val="99"/>
    <w:rsid w:val="007C232A"/>
    <w:rPr>
      <w:rFonts w:cs="Times New Roman"/>
      <w:b/>
      <w:bCs/>
      <w:color w:val="FF0000"/>
      <w:sz w:val="32"/>
      <w:szCs w:val="32"/>
    </w:rPr>
  </w:style>
  <w:style w:type="paragraph" w:styleId="af8">
    <w:name w:val="Date"/>
    <w:basedOn w:val="a"/>
    <w:next w:val="a"/>
    <w:link w:val="af9"/>
    <w:uiPriority w:val="99"/>
    <w:rsid w:val="007C232A"/>
    <w:pPr>
      <w:ind w:leftChars="2500" w:left="100"/>
    </w:pPr>
    <w:rPr>
      <w:rFonts w:ascii="Times New Roman" w:hAnsi="Times New Roman"/>
      <w:szCs w:val="24"/>
    </w:rPr>
  </w:style>
  <w:style w:type="character" w:customStyle="1" w:styleId="af9">
    <w:name w:val="日期 字符"/>
    <w:basedOn w:val="a0"/>
    <w:link w:val="af8"/>
    <w:uiPriority w:val="99"/>
    <w:rsid w:val="007C232A"/>
    <w:rPr>
      <w:rFonts w:ascii="Times New Roman" w:eastAsia="宋体" w:hAnsi="Times New Roman" w:cs="Times New Roman"/>
      <w:szCs w:val="24"/>
    </w:rPr>
  </w:style>
  <w:style w:type="paragraph" w:styleId="afa">
    <w:name w:val="Plain Text"/>
    <w:basedOn w:val="a"/>
    <w:link w:val="afb"/>
    <w:uiPriority w:val="99"/>
    <w:rsid w:val="007C232A"/>
    <w:rPr>
      <w:rFonts w:ascii="宋体" w:hAnsi="Courier New"/>
      <w:szCs w:val="20"/>
    </w:rPr>
  </w:style>
  <w:style w:type="character" w:customStyle="1" w:styleId="afb">
    <w:name w:val="纯文本 字符"/>
    <w:basedOn w:val="a0"/>
    <w:link w:val="afa"/>
    <w:uiPriority w:val="99"/>
    <w:rsid w:val="007C232A"/>
    <w:rPr>
      <w:rFonts w:ascii="宋体" w:eastAsia="宋体" w:hAnsi="Courier New" w:cs="Times New Roman"/>
      <w:szCs w:val="20"/>
    </w:rPr>
  </w:style>
  <w:style w:type="paragraph" w:customStyle="1" w:styleId="CharCharCharCharCharChar">
    <w:name w:val="Char Char Char Char Char Char"/>
    <w:basedOn w:val="a"/>
    <w:uiPriority w:val="99"/>
    <w:rsid w:val="007C232A"/>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uiPriority w:val="99"/>
    <w:rsid w:val="007C232A"/>
    <w:rPr>
      <w:rFonts w:ascii="Times New Roman" w:hAnsi="Times New Roman"/>
      <w:szCs w:val="24"/>
    </w:rPr>
  </w:style>
  <w:style w:type="paragraph" w:customStyle="1" w:styleId="Char2">
    <w:name w:val="Char2"/>
    <w:basedOn w:val="a"/>
    <w:uiPriority w:val="99"/>
    <w:rsid w:val="007C232A"/>
    <w:rPr>
      <w:rFonts w:ascii="Times New Roman" w:hAnsi="Times New Roman"/>
      <w:szCs w:val="24"/>
    </w:rPr>
  </w:style>
  <w:style w:type="paragraph" w:customStyle="1" w:styleId="CharCharChar1CharCharCharChar">
    <w:name w:val="Char Char Char1 Char Char Char Char"/>
    <w:basedOn w:val="a"/>
    <w:uiPriority w:val="99"/>
    <w:rsid w:val="007C232A"/>
    <w:rPr>
      <w:rFonts w:ascii="Arial" w:hAnsi="Arial" w:cs="Arial"/>
      <w:sz w:val="20"/>
      <w:szCs w:val="20"/>
    </w:rPr>
  </w:style>
  <w:style w:type="paragraph" w:customStyle="1" w:styleId="XW085">
    <w:name w:val="样式 XW正文 + 首行缩进:  0.85 厘米"/>
    <w:basedOn w:val="a"/>
    <w:uiPriority w:val="99"/>
    <w:rsid w:val="007C232A"/>
    <w:pPr>
      <w:adjustRightInd w:val="0"/>
      <w:spacing w:line="360" w:lineRule="auto"/>
      <w:ind w:firstLineChars="200" w:firstLine="200"/>
      <w:jc w:val="left"/>
      <w:textAlignment w:val="baseline"/>
    </w:pPr>
    <w:rPr>
      <w:rFonts w:ascii="Times New Roman" w:hAnsi="Times New Roman" w:cs="宋体"/>
      <w:kern w:val="0"/>
      <w:sz w:val="28"/>
      <w:szCs w:val="28"/>
    </w:rPr>
  </w:style>
  <w:style w:type="character" w:styleId="afc">
    <w:name w:val="Strong"/>
    <w:basedOn w:val="a0"/>
    <w:uiPriority w:val="22"/>
    <w:qFormat/>
    <w:rsid w:val="007C232A"/>
    <w:rPr>
      <w:rFonts w:cs="Times New Roman"/>
      <w:b/>
    </w:rPr>
  </w:style>
  <w:style w:type="character" w:customStyle="1" w:styleId="afd">
    <w:name w:val="文档结构图 字符"/>
    <w:basedOn w:val="a0"/>
    <w:link w:val="afe"/>
    <w:uiPriority w:val="99"/>
    <w:semiHidden/>
    <w:locked/>
    <w:rsid w:val="007C232A"/>
    <w:rPr>
      <w:rFonts w:ascii="Times New Roman" w:eastAsia="宋体" w:hAnsi="Times New Roman" w:cs="Times New Roman"/>
      <w:sz w:val="24"/>
      <w:szCs w:val="24"/>
      <w:shd w:val="clear" w:color="auto" w:fill="000080"/>
    </w:rPr>
  </w:style>
  <w:style w:type="paragraph" w:styleId="afe">
    <w:name w:val="Document Map"/>
    <w:basedOn w:val="a"/>
    <w:link w:val="afd"/>
    <w:uiPriority w:val="99"/>
    <w:semiHidden/>
    <w:rsid w:val="007C232A"/>
    <w:pPr>
      <w:shd w:val="clear" w:color="auto" w:fill="000080"/>
    </w:pPr>
    <w:rPr>
      <w:rFonts w:ascii="Times New Roman" w:hAnsi="Times New Roman"/>
      <w:sz w:val="24"/>
      <w:szCs w:val="24"/>
    </w:rPr>
  </w:style>
  <w:style w:type="character" w:customStyle="1" w:styleId="Char1">
    <w:name w:val="文档结构图 Char1"/>
    <w:basedOn w:val="a0"/>
    <w:uiPriority w:val="99"/>
    <w:semiHidden/>
    <w:rsid w:val="007C232A"/>
    <w:rPr>
      <w:rFonts w:ascii="宋体" w:eastAsia="宋体" w:hAnsi="Calibri" w:cs="Times New Roman"/>
      <w:sz w:val="18"/>
      <w:szCs w:val="18"/>
    </w:rPr>
  </w:style>
  <w:style w:type="paragraph" w:customStyle="1" w:styleId="CharCharCharCharCharChar1">
    <w:name w:val="Char Char Char Char Char Char1"/>
    <w:basedOn w:val="a"/>
    <w:uiPriority w:val="99"/>
    <w:rsid w:val="007C232A"/>
    <w:rPr>
      <w:rFonts w:ascii="Times New Roman" w:hAnsi="Times New Roman"/>
      <w:szCs w:val="24"/>
    </w:rPr>
  </w:style>
  <w:style w:type="paragraph" w:customStyle="1" w:styleId="CharCharCharCharCharCharCharCharCharCharCharCharCharCharCharChar1">
    <w:name w:val="Char Char Char Char Char Char Char Char Char Char Char Char Char Char Char Char1"/>
    <w:basedOn w:val="a"/>
    <w:uiPriority w:val="99"/>
    <w:rsid w:val="007C232A"/>
    <w:rPr>
      <w:rFonts w:ascii="Times New Roman" w:hAnsi="Times New Roman"/>
      <w:szCs w:val="24"/>
    </w:rPr>
  </w:style>
  <w:style w:type="paragraph" w:customStyle="1" w:styleId="Char10">
    <w:name w:val="Char1"/>
    <w:basedOn w:val="a"/>
    <w:uiPriority w:val="99"/>
    <w:rsid w:val="007C232A"/>
    <w:rPr>
      <w:rFonts w:ascii="Times New Roman" w:hAnsi="Times New Roman"/>
      <w:szCs w:val="24"/>
    </w:rPr>
  </w:style>
  <w:style w:type="paragraph" w:customStyle="1" w:styleId="CharCharChar1CharCharCharChar1">
    <w:name w:val="Char Char Char1 Char Char Char Char1"/>
    <w:basedOn w:val="a"/>
    <w:uiPriority w:val="99"/>
    <w:rsid w:val="007C232A"/>
    <w:rPr>
      <w:rFonts w:ascii="Arial" w:hAnsi="Arial" w:cs="Arial"/>
      <w:sz w:val="20"/>
      <w:szCs w:val="20"/>
    </w:rPr>
  </w:style>
  <w:style w:type="paragraph" w:customStyle="1" w:styleId="aff">
    <w:name w:val="款"/>
    <w:basedOn w:val="a"/>
    <w:uiPriority w:val="99"/>
    <w:rsid w:val="007C232A"/>
    <w:pPr>
      <w:adjustRightInd w:val="0"/>
      <w:snapToGrid w:val="0"/>
      <w:spacing w:line="340" w:lineRule="exact"/>
      <w:ind w:firstLineChars="200" w:firstLine="422"/>
    </w:pPr>
    <w:rPr>
      <w:rFonts w:ascii="宋体" w:hAnsi="Times New Roman" w:cs="宋体"/>
      <w:szCs w:val="21"/>
    </w:rPr>
  </w:style>
  <w:style w:type="paragraph" w:customStyle="1" w:styleId="Default">
    <w:name w:val="Default"/>
    <w:uiPriority w:val="99"/>
    <w:rsid w:val="007C232A"/>
    <w:pPr>
      <w:widowControl w:val="0"/>
      <w:autoSpaceDE w:val="0"/>
      <w:autoSpaceDN w:val="0"/>
      <w:adjustRightInd w:val="0"/>
    </w:pPr>
    <w:rPr>
      <w:rFonts w:ascii="宋体" w:eastAsia="宋体" w:hAnsi="等线" w:cs="宋体"/>
      <w:color w:val="000000"/>
      <w:kern w:val="0"/>
      <w:sz w:val="24"/>
      <w:szCs w:val="24"/>
    </w:rPr>
  </w:style>
  <w:style w:type="paragraph" w:styleId="TOC1">
    <w:name w:val="toc 1"/>
    <w:basedOn w:val="a"/>
    <w:next w:val="a"/>
    <w:uiPriority w:val="39"/>
    <w:qFormat/>
    <w:rsid w:val="00AB772B"/>
    <w:pPr>
      <w:spacing w:before="120" w:after="120"/>
      <w:jc w:val="left"/>
    </w:pPr>
    <w:rPr>
      <w:rFonts w:ascii="Times New Roman" w:hAnsi="Times New Roman"/>
      <w:b/>
      <w:bCs/>
      <w:caps/>
      <w:sz w:val="20"/>
      <w:szCs w:val="20"/>
    </w:rPr>
  </w:style>
  <w:style w:type="paragraph" w:styleId="aff0">
    <w:name w:val="Subtitle"/>
    <w:basedOn w:val="a"/>
    <w:next w:val="a"/>
    <w:link w:val="aff1"/>
    <w:uiPriority w:val="99"/>
    <w:qFormat/>
    <w:rsid w:val="00AB772B"/>
    <w:pPr>
      <w:spacing w:before="240" w:after="60" w:line="312" w:lineRule="auto"/>
      <w:jc w:val="center"/>
      <w:outlineLvl w:val="1"/>
    </w:pPr>
    <w:rPr>
      <w:rFonts w:ascii="Cambria" w:hAnsi="Cambria"/>
      <w:b/>
      <w:bCs/>
      <w:kern w:val="28"/>
      <w:sz w:val="32"/>
      <w:szCs w:val="32"/>
    </w:rPr>
  </w:style>
  <w:style w:type="character" w:customStyle="1" w:styleId="aff1">
    <w:name w:val="副标题 字符"/>
    <w:basedOn w:val="a0"/>
    <w:link w:val="aff0"/>
    <w:uiPriority w:val="99"/>
    <w:rsid w:val="00AB772B"/>
    <w:rPr>
      <w:rFonts w:ascii="Cambria" w:eastAsia="宋体" w:hAnsi="Cambria" w:cs="Times New Roman"/>
      <w:b/>
      <w:bCs/>
      <w:kern w:val="28"/>
      <w:sz w:val="32"/>
      <w:szCs w:val="32"/>
    </w:rPr>
  </w:style>
  <w:style w:type="paragraph" w:customStyle="1" w:styleId="12">
    <w:name w:val="列出段落1"/>
    <w:basedOn w:val="a"/>
    <w:uiPriority w:val="99"/>
    <w:rsid w:val="00AB772B"/>
    <w:pPr>
      <w:ind w:firstLineChars="200" w:firstLine="420"/>
    </w:pPr>
    <w:rPr>
      <w:rFonts w:ascii="Times New Roman" w:hAnsi="Times New Roman"/>
      <w:szCs w:val="24"/>
    </w:rPr>
  </w:style>
  <w:style w:type="paragraph" w:customStyle="1" w:styleId="21">
    <w:name w:val="列出段落2"/>
    <w:basedOn w:val="a"/>
    <w:uiPriority w:val="99"/>
    <w:rsid w:val="00AB772B"/>
    <w:pPr>
      <w:ind w:firstLineChars="200" w:firstLine="420"/>
    </w:pPr>
    <w:rPr>
      <w:rFonts w:ascii="Times New Roman" w:hAnsi="Times New Roman"/>
      <w:szCs w:val="24"/>
    </w:rPr>
  </w:style>
  <w:style w:type="paragraph" w:customStyle="1" w:styleId="210">
    <w:name w:val="列出段落21"/>
    <w:basedOn w:val="a"/>
    <w:uiPriority w:val="99"/>
    <w:rsid w:val="00AB772B"/>
    <w:pPr>
      <w:ind w:firstLineChars="200" w:firstLine="420"/>
    </w:pPr>
    <w:rPr>
      <w:rFonts w:ascii="Times New Roman" w:hAnsi="Times New Roman"/>
      <w:szCs w:val="24"/>
    </w:rPr>
  </w:style>
  <w:style w:type="paragraph" w:customStyle="1" w:styleId="31">
    <w:name w:val="列出段落3"/>
    <w:basedOn w:val="a"/>
    <w:uiPriority w:val="99"/>
    <w:rsid w:val="00AB772B"/>
    <w:pPr>
      <w:ind w:firstLineChars="200" w:firstLine="420"/>
    </w:pPr>
    <w:rPr>
      <w:rFonts w:ascii="Times New Roman" w:hAnsi="Times New Roman"/>
      <w:szCs w:val="24"/>
    </w:rPr>
  </w:style>
  <w:style w:type="character" w:customStyle="1" w:styleId="Char11">
    <w:name w:val="纯文本 Char1"/>
    <w:uiPriority w:val="99"/>
    <w:rsid w:val="00AB772B"/>
    <w:rPr>
      <w:rFonts w:ascii="宋体" w:eastAsia="宋体" w:hAnsi="Courier New"/>
      <w:sz w:val="21"/>
    </w:rPr>
  </w:style>
  <w:style w:type="paragraph" w:customStyle="1" w:styleId="CharChar">
    <w:name w:val="Char Char"/>
    <w:basedOn w:val="a"/>
    <w:uiPriority w:val="99"/>
    <w:rsid w:val="00AB772B"/>
    <w:rPr>
      <w:rFonts w:ascii="Times New Roman" w:hAnsi="Times New Roman"/>
      <w:szCs w:val="24"/>
    </w:rPr>
  </w:style>
  <w:style w:type="character" w:customStyle="1" w:styleId="font21">
    <w:name w:val="font21"/>
    <w:uiPriority w:val="99"/>
    <w:rsid w:val="00AB772B"/>
    <w:rPr>
      <w:rFonts w:ascii="华文中宋" w:eastAsia="华文中宋" w:hAnsi="华文中宋"/>
      <w:color w:val="000000"/>
      <w:sz w:val="21"/>
      <w:u w:val="none"/>
    </w:rPr>
  </w:style>
  <w:style w:type="paragraph" w:customStyle="1" w:styleId="ListParagraph1">
    <w:name w:val="List Paragraph1"/>
    <w:basedOn w:val="a"/>
    <w:uiPriority w:val="99"/>
    <w:rsid w:val="00AB772B"/>
    <w:pPr>
      <w:ind w:left="720"/>
    </w:pPr>
    <w:rPr>
      <w:szCs w:val="24"/>
    </w:rPr>
  </w:style>
  <w:style w:type="paragraph" w:customStyle="1" w:styleId="13">
    <w:name w:val="样式1"/>
    <w:basedOn w:val="a"/>
    <w:uiPriority w:val="99"/>
    <w:rsid w:val="00AB772B"/>
    <w:pPr>
      <w:topLinePunct/>
      <w:spacing w:line="960" w:lineRule="auto"/>
      <w:jc w:val="center"/>
    </w:pPr>
    <w:rPr>
      <w:rFonts w:ascii="Times New Roman" w:hAnsi="Times New Roman"/>
      <w:sz w:val="28"/>
      <w:szCs w:val="28"/>
    </w:rPr>
  </w:style>
  <w:style w:type="character" w:customStyle="1" w:styleId="apple-converted-space">
    <w:name w:val="apple-converted-space"/>
    <w:basedOn w:val="a0"/>
    <w:uiPriority w:val="99"/>
    <w:rsid w:val="00AB772B"/>
    <w:rPr>
      <w:rFonts w:cs="Times New Roman"/>
    </w:rPr>
  </w:style>
  <w:style w:type="paragraph" w:customStyle="1" w:styleId="14">
    <w:name w:val="修订1"/>
    <w:hidden/>
    <w:uiPriority w:val="99"/>
    <w:rsid w:val="00AB772B"/>
    <w:rPr>
      <w:rFonts w:ascii="Calibri" w:eastAsia="宋体" w:hAnsi="Calibri" w:cs="Times New Roman"/>
      <w:szCs w:val="24"/>
    </w:rPr>
  </w:style>
  <w:style w:type="paragraph" w:customStyle="1" w:styleId="Style1">
    <w:name w:val="_Style 1"/>
    <w:basedOn w:val="a"/>
    <w:uiPriority w:val="99"/>
    <w:rsid w:val="00AB772B"/>
    <w:pPr>
      <w:ind w:firstLineChars="200" w:firstLine="420"/>
    </w:pPr>
  </w:style>
  <w:style w:type="paragraph" w:styleId="TOC">
    <w:name w:val="TOC Heading"/>
    <w:basedOn w:val="1"/>
    <w:next w:val="a"/>
    <w:uiPriority w:val="39"/>
    <w:semiHidden/>
    <w:unhideWhenUsed/>
    <w:qFormat/>
    <w:rsid w:val="008420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semiHidden/>
    <w:unhideWhenUsed/>
    <w:qFormat/>
    <w:rsid w:val="008420D6"/>
    <w:pPr>
      <w:widowControl/>
      <w:spacing w:after="100" w:line="276" w:lineRule="auto"/>
      <w:ind w:left="220"/>
      <w:jc w:val="left"/>
    </w:pPr>
    <w:rPr>
      <w:rFonts w:asciiTheme="minorHAnsi" w:eastAsiaTheme="minorEastAsia" w:hAnsiTheme="minorHAnsi" w:cstheme="minorBidi"/>
      <w:kern w:val="0"/>
      <w:sz w:val="22"/>
    </w:rPr>
  </w:style>
  <w:style w:type="paragraph" w:styleId="TOC3">
    <w:name w:val="toc 3"/>
    <w:basedOn w:val="a"/>
    <w:next w:val="a"/>
    <w:autoRedefine/>
    <w:uiPriority w:val="39"/>
    <w:semiHidden/>
    <w:unhideWhenUsed/>
    <w:qFormat/>
    <w:rsid w:val="008420D6"/>
    <w:pPr>
      <w:widowControl/>
      <w:spacing w:after="100" w:line="276" w:lineRule="auto"/>
      <w:ind w:left="440"/>
      <w:jc w:val="left"/>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64FD-DD87-4478-AF08-3971472F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王彬峰</dc:creator>
  <cp:keywords/>
  <dc:description/>
  <cp:lastModifiedBy>牛 玉飞</cp:lastModifiedBy>
  <cp:revision>299</cp:revision>
  <dcterms:created xsi:type="dcterms:W3CDTF">2020-01-08T07:52:00Z</dcterms:created>
  <dcterms:modified xsi:type="dcterms:W3CDTF">2021-01-28T01:49:00Z</dcterms:modified>
</cp:coreProperties>
</file>